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99823" w14:textId="77777777" w:rsidR="00743703" w:rsidRDefault="00743703" w:rsidP="00743703">
      <w:pPr>
        <w:jc w:val="center"/>
        <w:rPr>
          <w:rFonts w:ascii="BernhardMod BT" w:hAnsi="BernhardMod BT"/>
          <w:b/>
          <w:sz w:val="112"/>
          <w:szCs w:val="112"/>
        </w:rPr>
      </w:pPr>
    </w:p>
    <w:p w14:paraId="12AA8551" w14:textId="77777777" w:rsidR="00743703" w:rsidRDefault="00743703" w:rsidP="00743703">
      <w:pPr>
        <w:jc w:val="center"/>
        <w:rPr>
          <w:rFonts w:ascii="Garamond" w:hAnsi="Garamond"/>
          <w:b/>
          <w:sz w:val="32"/>
          <w:szCs w:val="32"/>
        </w:rPr>
      </w:pPr>
      <w:r w:rsidRPr="00743703">
        <w:rPr>
          <w:rFonts w:ascii="BernhardMod BT" w:hAnsi="BernhardMod BT"/>
          <w:b/>
          <w:sz w:val="112"/>
          <w:szCs w:val="112"/>
        </w:rPr>
        <w:t>Using Social Science on Appeal (or How to Bring the Court Back to Reality)</w:t>
      </w:r>
      <w:r>
        <w:rPr>
          <w:rFonts w:ascii="Garamond" w:hAnsi="Garamond"/>
          <w:b/>
          <w:sz w:val="26"/>
          <w:szCs w:val="26"/>
        </w:rPr>
        <w:br/>
      </w:r>
    </w:p>
    <w:p w14:paraId="28E45D0A" w14:textId="32C92EF2" w:rsidR="00743703" w:rsidRDefault="00743703" w:rsidP="00743703">
      <w:pPr>
        <w:jc w:val="center"/>
        <w:rPr>
          <w:rFonts w:ascii="Garamond" w:hAnsi="Garamond"/>
          <w:b/>
          <w:i/>
          <w:sz w:val="26"/>
          <w:szCs w:val="26"/>
        </w:rPr>
      </w:pPr>
      <w:r w:rsidRPr="00743703">
        <w:rPr>
          <w:rFonts w:ascii="Garamond" w:hAnsi="Garamond"/>
          <w:b/>
          <w:sz w:val="32"/>
          <w:szCs w:val="32"/>
        </w:rPr>
        <w:t>by</w:t>
      </w:r>
      <w:r>
        <w:rPr>
          <w:rFonts w:ascii="Garamond" w:hAnsi="Garamond"/>
          <w:b/>
          <w:sz w:val="32"/>
          <w:szCs w:val="32"/>
        </w:rPr>
        <w:t>:</w:t>
      </w:r>
      <w:r w:rsidRPr="00743703">
        <w:rPr>
          <w:rFonts w:ascii="Garamond" w:hAnsi="Garamond"/>
          <w:b/>
          <w:sz w:val="32"/>
          <w:szCs w:val="32"/>
        </w:rPr>
        <w:t xml:space="preserve"> </w:t>
      </w:r>
      <w:r>
        <w:rPr>
          <w:rFonts w:ascii="Garamond" w:hAnsi="Garamond"/>
          <w:b/>
          <w:sz w:val="32"/>
          <w:szCs w:val="32"/>
        </w:rPr>
        <w:t xml:space="preserve"> </w:t>
      </w:r>
      <w:r w:rsidRPr="00743703">
        <w:rPr>
          <w:rFonts w:ascii="Garamond" w:hAnsi="Garamond"/>
          <w:b/>
          <w:sz w:val="32"/>
          <w:szCs w:val="32"/>
        </w:rPr>
        <w:t>Joseph Doyle and Anna Stuart</w:t>
      </w:r>
    </w:p>
    <w:p w14:paraId="56F74834" w14:textId="77777777" w:rsidR="00743703" w:rsidRDefault="00743703">
      <w:pPr>
        <w:rPr>
          <w:rFonts w:ascii="Garamond" w:hAnsi="Garamond"/>
          <w:b/>
          <w:i/>
          <w:sz w:val="26"/>
          <w:szCs w:val="26"/>
        </w:rPr>
      </w:pPr>
      <w:r>
        <w:rPr>
          <w:rFonts w:ascii="Garamond" w:hAnsi="Garamond"/>
          <w:b/>
          <w:i/>
          <w:sz w:val="26"/>
          <w:szCs w:val="26"/>
        </w:rPr>
        <w:br w:type="page"/>
      </w:r>
    </w:p>
    <w:p w14:paraId="66CD497D" w14:textId="77777777" w:rsidR="002B776A" w:rsidRPr="00825DF7" w:rsidRDefault="002B776A" w:rsidP="002B776A">
      <w:pPr>
        <w:pStyle w:val="Heading1"/>
        <w:rPr>
          <w:rFonts w:ascii="Garamond" w:hAnsi="Garamond"/>
        </w:rPr>
      </w:pPr>
      <w:r w:rsidRPr="00825DF7">
        <w:rPr>
          <w:rFonts w:ascii="Garamond" w:hAnsi="Garamond"/>
        </w:rPr>
        <w:lastRenderedPageBreak/>
        <w:t>TABLE OF CONTENTS</w:t>
      </w:r>
    </w:p>
    <w:p w14:paraId="6C8922B7" w14:textId="77777777" w:rsidR="002B776A" w:rsidRDefault="002B776A" w:rsidP="002B776A"/>
    <w:p w14:paraId="6405AC4E" w14:textId="77777777" w:rsidR="002B776A" w:rsidRPr="008E6F68" w:rsidRDefault="002B776A" w:rsidP="009A7700">
      <w:pPr>
        <w:pStyle w:val="TOC1"/>
      </w:pPr>
      <w:r w:rsidRPr="008E6F68">
        <w:t>TABLE OF CONTENTS</w:t>
      </w:r>
      <w:r w:rsidRPr="008E6F68">
        <w:ptab w:relativeTo="margin" w:alignment="right" w:leader="dot"/>
      </w:r>
      <w:r w:rsidRPr="008E6F68">
        <w:t xml:space="preserve">2 </w:t>
      </w:r>
    </w:p>
    <w:p w14:paraId="48B026D8" w14:textId="18D2C0DF" w:rsidR="002B776A" w:rsidRPr="008E6F68" w:rsidRDefault="002B776A" w:rsidP="009A7700">
      <w:pPr>
        <w:pStyle w:val="TOC1"/>
      </w:pPr>
      <w:r w:rsidRPr="008E6F68">
        <w:t>U</w:t>
      </w:r>
      <w:r w:rsidR="00010FB6" w:rsidRPr="008E6F68">
        <w:rPr>
          <w:caps w:val="0"/>
        </w:rPr>
        <w:t>sing Social Science On Appeal (Or How To Bring The Court Back To Reality</w:t>
      </w:r>
      <w:r w:rsidRPr="008E6F68">
        <w:t>)</w:t>
      </w:r>
      <w:r w:rsidRPr="008E6F68">
        <w:ptab w:relativeTo="margin" w:alignment="right" w:leader="dot"/>
      </w:r>
      <w:r w:rsidR="002607B5">
        <w:t>4</w:t>
      </w:r>
      <w:r w:rsidRPr="008E6F68">
        <w:t xml:space="preserve"> </w:t>
      </w:r>
    </w:p>
    <w:p w14:paraId="403CCC32" w14:textId="289E724F" w:rsidR="002B776A" w:rsidRPr="008E6F68" w:rsidRDefault="002B776A" w:rsidP="009A7700">
      <w:pPr>
        <w:pStyle w:val="TOC1"/>
      </w:pPr>
      <w:r w:rsidRPr="008E6F68">
        <w:t>I.</w:t>
      </w:r>
      <w:r w:rsidRPr="008E6F68">
        <w:tab/>
        <w:t>T</w:t>
      </w:r>
      <w:r w:rsidR="00010FB6" w:rsidRPr="008E6F68">
        <w:rPr>
          <w:caps w:val="0"/>
        </w:rPr>
        <w:t>he basics</w:t>
      </w:r>
      <w:r w:rsidRPr="008E6F68">
        <w:ptab w:relativeTo="margin" w:alignment="right" w:leader="dot"/>
      </w:r>
      <w:r w:rsidR="002607B5">
        <w:t>5</w:t>
      </w:r>
    </w:p>
    <w:p w14:paraId="42AC3BD0" w14:textId="06051D43" w:rsidR="002B776A" w:rsidRDefault="002B776A" w:rsidP="009A7700">
      <w:pPr>
        <w:pStyle w:val="TOC1"/>
      </w:pPr>
      <w:r w:rsidRPr="008E6F68">
        <w:t>II.</w:t>
      </w:r>
      <w:r w:rsidRPr="008E6F68">
        <w:tab/>
        <w:t>W</w:t>
      </w:r>
      <w:r w:rsidR="00010FB6" w:rsidRPr="008E6F68">
        <w:rPr>
          <w:caps w:val="0"/>
        </w:rPr>
        <w:t>hat you can and can’t do with social science</w:t>
      </w:r>
      <w:r w:rsidRPr="008E6F68">
        <w:ptab w:relativeTo="margin" w:alignment="right" w:leader="dot"/>
      </w:r>
      <w:r w:rsidR="002607B5">
        <w:t>6</w:t>
      </w:r>
    </w:p>
    <w:p w14:paraId="251C1D73" w14:textId="76624C2A" w:rsidR="008E6F68" w:rsidRDefault="008E6F68" w:rsidP="009A7700">
      <w:pPr>
        <w:pStyle w:val="TOC1"/>
      </w:pPr>
      <w:r>
        <w:t>III.</w:t>
      </w:r>
      <w:r>
        <w:tab/>
        <w:t>E</w:t>
      </w:r>
      <w:r w:rsidR="00010FB6">
        <w:rPr>
          <w:caps w:val="0"/>
        </w:rPr>
        <w:t>yewitness identifications</w:t>
      </w:r>
      <w:r w:rsidRPr="008E6F68">
        <w:ptab w:relativeTo="margin" w:alignment="right" w:leader="dot"/>
      </w:r>
      <w:r w:rsidR="002607B5">
        <w:t>7</w:t>
      </w:r>
    </w:p>
    <w:p w14:paraId="29EA6A69" w14:textId="048A0E47" w:rsidR="006742BE" w:rsidRDefault="008E6F68" w:rsidP="009A7700">
      <w:pPr>
        <w:pStyle w:val="TOC1"/>
      </w:pPr>
      <w:r w:rsidRPr="006742BE">
        <w:t>IV.</w:t>
      </w:r>
      <w:r w:rsidRPr="006742BE">
        <w:tab/>
        <w:t>T</w:t>
      </w:r>
      <w:r w:rsidR="00010FB6" w:rsidRPr="006742BE">
        <w:rPr>
          <w:caps w:val="0"/>
        </w:rPr>
        <w:t>he reasonable-person standard</w:t>
      </w:r>
      <w:r w:rsidR="006742BE" w:rsidRPr="008E6F68">
        <w:ptab w:relativeTo="margin" w:alignment="right" w:leader="dot"/>
      </w:r>
      <w:r w:rsidR="002607B5">
        <w:t>11</w:t>
      </w:r>
    </w:p>
    <w:p w14:paraId="1C7A4E3F" w14:textId="3BEC9959" w:rsidR="006742BE" w:rsidRDefault="006742BE" w:rsidP="009A7700">
      <w:pPr>
        <w:pStyle w:val="TOC1"/>
      </w:pPr>
      <w:r>
        <w:t>V.</w:t>
      </w:r>
      <w:r>
        <w:tab/>
      </w:r>
      <w:r w:rsidRPr="006742BE">
        <w:t>I</w:t>
      </w:r>
      <w:r w:rsidR="00010FB6" w:rsidRPr="006742BE">
        <w:rPr>
          <w:caps w:val="0"/>
        </w:rPr>
        <w:t>nvoking</w:t>
      </w:r>
      <w:r w:rsidRPr="006742BE">
        <w:t xml:space="preserve"> </w:t>
      </w:r>
      <w:r>
        <w:rPr>
          <w:i/>
        </w:rPr>
        <w:t>M</w:t>
      </w:r>
      <w:r w:rsidR="00010FB6" w:rsidRPr="006742BE">
        <w:rPr>
          <w:i/>
          <w:caps w:val="0"/>
        </w:rPr>
        <w:t>iranda</w:t>
      </w:r>
      <w:r w:rsidRPr="008E6F68">
        <w:ptab w:relativeTo="margin" w:alignment="right" w:leader="dot"/>
      </w:r>
      <w:r w:rsidR="002607B5">
        <w:t>15</w:t>
      </w:r>
    </w:p>
    <w:p w14:paraId="01985B46" w14:textId="34849C48" w:rsidR="006742BE" w:rsidRDefault="006742BE" w:rsidP="009A7700">
      <w:pPr>
        <w:pStyle w:val="TOC1"/>
      </w:pPr>
      <w:r>
        <w:t>VI.</w:t>
      </w:r>
      <w:r>
        <w:tab/>
        <w:t>F</w:t>
      </w:r>
      <w:r w:rsidR="00010FB6">
        <w:rPr>
          <w:caps w:val="0"/>
        </w:rPr>
        <w:t xml:space="preserve">alse </w:t>
      </w:r>
      <w:r w:rsidR="007060EF">
        <w:rPr>
          <w:caps w:val="0"/>
        </w:rPr>
        <w:t>C</w:t>
      </w:r>
      <w:r w:rsidR="00010FB6">
        <w:rPr>
          <w:caps w:val="0"/>
        </w:rPr>
        <w:t>onfessions</w:t>
      </w:r>
      <w:r w:rsidRPr="008E6F68">
        <w:ptab w:relativeTo="margin" w:alignment="right" w:leader="dot"/>
      </w:r>
      <w:r w:rsidR="002607B5">
        <w:t>18</w:t>
      </w:r>
    </w:p>
    <w:p w14:paraId="0B790C51" w14:textId="7BCD00BD" w:rsidR="00297AD2" w:rsidRDefault="00297AD2" w:rsidP="009A7700">
      <w:pPr>
        <w:pStyle w:val="TOC1"/>
      </w:pPr>
      <w:r>
        <w:t>VII.</w:t>
      </w:r>
      <w:r>
        <w:tab/>
      </w:r>
      <w:r w:rsidRPr="00297AD2">
        <w:t>R</w:t>
      </w:r>
      <w:r w:rsidR="00010FB6" w:rsidRPr="00297AD2">
        <w:rPr>
          <w:caps w:val="0"/>
        </w:rPr>
        <w:t xml:space="preserve">acial Injustice </w:t>
      </w:r>
      <w:r w:rsidR="00010FB6">
        <w:rPr>
          <w:caps w:val="0"/>
        </w:rPr>
        <w:t>i</w:t>
      </w:r>
      <w:r w:rsidR="00010FB6" w:rsidRPr="00297AD2">
        <w:rPr>
          <w:caps w:val="0"/>
        </w:rPr>
        <w:t xml:space="preserve">n </w:t>
      </w:r>
      <w:r w:rsidR="007060EF">
        <w:rPr>
          <w:caps w:val="0"/>
        </w:rPr>
        <w:t>t</w:t>
      </w:r>
      <w:r w:rsidR="00010FB6" w:rsidRPr="00297AD2">
        <w:rPr>
          <w:caps w:val="0"/>
        </w:rPr>
        <w:t xml:space="preserve">he Courtroom: A Violation </w:t>
      </w:r>
      <w:r w:rsidR="00010FB6">
        <w:rPr>
          <w:caps w:val="0"/>
        </w:rPr>
        <w:t>o</w:t>
      </w:r>
      <w:r w:rsidR="00010FB6" w:rsidRPr="00297AD2">
        <w:rPr>
          <w:caps w:val="0"/>
        </w:rPr>
        <w:t xml:space="preserve">f </w:t>
      </w:r>
      <w:r w:rsidR="00010FB6">
        <w:rPr>
          <w:caps w:val="0"/>
        </w:rPr>
        <w:t>t</w:t>
      </w:r>
      <w:r w:rsidR="00010FB6" w:rsidRPr="00297AD2">
        <w:rPr>
          <w:caps w:val="0"/>
        </w:rPr>
        <w:t xml:space="preserve">he Racial Justice Act </w:t>
      </w:r>
      <w:r w:rsidR="00010FB6">
        <w:rPr>
          <w:caps w:val="0"/>
        </w:rPr>
        <w:t>o</w:t>
      </w:r>
      <w:r w:rsidR="00010FB6" w:rsidRPr="00297AD2">
        <w:rPr>
          <w:caps w:val="0"/>
        </w:rPr>
        <w:t>f</w:t>
      </w:r>
      <w:r w:rsidRPr="00297AD2">
        <w:t xml:space="preserve"> 2020? </w:t>
      </w:r>
      <w:r w:rsidRPr="008E6F68">
        <w:ptab w:relativeTo="margin" w:alignment="right" w:leader="dot"/>
      </w:r>
      <w:r w:rsidR="002607B5">
        <w:t>20</w:t>
      </w:r>
    </w:p>
    <w:p w14:paraId="1DB76783" w14:textId="2571DB24" w:rsidR="00ED461F" w:rsidRDefault="00ED461F" w:rsidP="009A7700">
      <w:pPr>
        <w:pStyle w:val="TOC1"/>
      </w:pPr>
      <w:r w:rsidRPr="00ED461F">
        <w:tab/>
        <w:t>A.</w:t>
      </w:r>
      <w:r w:rsidRPr="00ED461F">
        <w:tab/>
        <w:t>A</w:t>
      </w:r>
      <w:r w:rsidR="009D59E3" w:rsidRPr="00ED461F">
        <w:rPr>
          <w:caps w:val="0"/>
        </w:rPr>
        <w:t>ssembly</w:t>
      </w:r>
      <w:r w:rsidRPr="00ED461F">
        <w:t xml:space="preserve"> B</w:t>
      </w:r>
      <w:r w:rsidR="009D59E3" w:rsidRPr="00ED461F">
        <w:rPr>
          <w:caps w:val="0"/>
        </w:rPr>
        <w:t>ill</w:t>
      </w:r>
      <w:r w:rsidRPr="00ED461F">
        <w:t xml:space="preserve"> N</w:t>
      </w:r>
      <w:r w:rsidR="009D59E3">
        <w:rPr>
          <w:caps w:val="0"/>
        </w:rPr>
        <w:t>o</w:t>
      </w:r>
      <w:r w:rsidRPr="00ED461F">
        <w:t xml:space="preserve">. 2542: </w:t>
      </w:r>
      <w:r w:rsidR="009D59E3" w:rsidRPr="00ED461F">
        <w:rPr>
          <w:caps w:val="0"/>
        </w:rPr>
        <w:t>The Racial Justice Act</w:t>
      </w:r>
      <w:r w:rsidRPr="00ED461F">
        <w:t xml:space="preserve"> </w:t>
      </w:r>
      <w:r w:rsidR="009D59E3">
        <w:rPr>
          <w:caps w:val="0"/>
        </w:rPr>
        <w:t>of</w:t>
      </w:r>
      <w:r w:rsidRPr="00ED461F">
        <w:t xml:space="preserve"> 2020</w:t>
      </w:r>
      <w:r w:rsidRPr="00297AD2">
        <w:t xml:space="preserve"> </w:t>
      </w:r>
      <w:r w:rsidRPr="008E6F68">
        <w:ptab w:relativeTo="margin" w:alignment="right" w:leader="dot"/>
      </w:r>
      <w:r w:rsidR="002607B5">
        <w:t>20</w:t>
      </w:r>
    </w:p>
    <w:p w14:paraId="48A3D2B9" w14:textId="7E32CEE6" w:rsidR="00ED461F" w:rsidRDefault="00ED461F" w:rsidP="009A7700">
      <w:pPr>
        <w:pStyle w:val="TOC1"/>
      </w:pPr>
      <w:r>
        <w:rPr>
          <w:b/>
        </w:rPr>
        <w:tab/>
      </w:r>
      <w:r w:rsidRPr="00ED461F">
        <w:t>B.</w:t>
      </w:r>
      <w:r w:rsidRPr="00ED461F">
        <w:tab/>
        <w:t>J</w:t>
      </w:r>
      <w:r w:rsidR="00966427" w:rsidRPr="00ED461F">
        <w:rPr>
          <w:caps w:val="0"/>
        </w:rPr>
        <w:t xml:space="preserve">udicial </w:t>
      </w:r>
      <w:r w:rsidR="007060EF">
        <w:rPr>
          <w:caps w:val="0"/>
        </w:rPr>
        <w:t>B</w:t>
      </w:r>
      <w:r w:rsidR="00966427" w:rsidRPr="00ED461F">
        <w:rPr>
          <w:caps w:val="0"/>
        </w:rPr>
        <w:t>ias</w:t>
      </w:r>
      <w:r w:rsidRPr="00297AD2">
        <w:t xml:space="preserve"> </w:t>
      </w:r>
      <w:r w:rsidRPr="008E6F68">
        <w:ptab w:relativeTo="margin" w:alignment="right" w:leader="dot"/>
      </w:r>
      <w:r w:rsidR="002607B5">
        <w:t>22</w:t>
      </w:r>
    </w:p>
    <w:p w14:paraId="4FD7E2E4" w14:textId="5081E36E" w:rsidR="00ED461F" w:rsidRDefault="00ED461F" w:rsidP="009A7700">
      <w:pPr>
        <w:pStyle w:val="TOC1"/>
      </w:pPr>
      <w:r w:rsidRPr="00ED461F">
        <w:tab/>
        <w:t>C.</w:t>
      </w:r>
      <w:r w:rsidRPr="00ED461F">
        <w:tab/>
        <w:t>P</w:t>
      </w:r>
      <w:r w:rsidR="00966427" w:rsidRPr="00ED461F">
        <w:rPr>
          <w:caps w:val="0"/>
        </w:rPr>
        <w:t>rovocative act murder</w:t>
      </w:r>
      <w:r w:rsidRPr="00297AD2">
        <w:t xml:space="preserve"> </w:t>
      </w:r>
      <w:r w:rsidRPr="008E6F68">
        <w:ptab w:relativeTo="margin" w:alignment="right" w:leader="dot"/>
      </w:r>
      <w:r w:rsidR="002607B5">
        <w:t>22</w:t>
      </w:r>
    </w:p>
    <w:p w14:paraId="49562417" w14:textId="21FED964" w:rsidR="00ED461F" w:rsidRDefault="001E6458" w:rsidP="009A7700">
      <w:pPr>
        <w:pStyle w:val="TOC1"/>
      </w:pPr>
      <w:r>
        <w:rPr>
          <w:b/>
        </w:rPr>
        <w:tab/>
      </w:r>
      <w:r w:rsidRPr="001E6458">
        <w:t>D.</w:t>
      </w:r>
      <w:r w:rsidRPr="001E6458">
        <w:tab/>
        <w:t>U</w:t>
      </w:r>
      <w:r w:rsidR="00966427" w:rsidRPr="001E6458">
        <w:rPr>
          <w:caps w:val="0"/>
        </w:rPr>
        <w:t>se of the phrase “</w:t>
      </w:r>
      <w:r w:rsidR="00966427">
        <w:rPr>
          <w:caps w:val="0"/>
        </w:rPr>
        <w:t>C</w:t>
      </w:r>
      <w:r w:rsidR="00966427" w:rsidRPr="001E6458">
        <w:rPr>
          <w:caps w:val="0"/>
        </w:rPr>
        <w:t xml:space="preserve">ommon </w:t>
      </w:r>
      <w:r w:rsidR="00966427">
        <w:rPr>
          <w:caps w:val="0"/>
        </w:rPr>
        <w:t>S</w:t>
      </w:r>
      <w:r w:rsidR="00966427" w:rsidRPr="001E6458">
        <w:rPr>
          <w:caps w:val="0"/>
        </w:rPr>
        <w:t>ense</w:t>
      </w:r>
      <w:r w:rsidRPr="001E6458">
        <w:t xml:space="preserve">” </w:t>
      </w:r>
      <w:r w:rsidRPr="008E6F68">
        <w:ptab w:relativeTo="margin" w:alignment="right" w:leader="dot"/>
      </w:r>
      <w:r w:rsidR="002607B5">
        <w:t>2</w:t>
      </w:r>
      <w:r w:rsidRPr="008E6F68">
        <w:t>3</w:t>
      </w:r>
    </w:p>
    <w:p w14:paraId="4647E9E2" w14:textId="503F3076" w:rsidR="001E6458" w:rsidRDefault="001E6458" w:rsidP="001E6458">
      <w:pPr>
        <w:rPr>
          <w:rFonts w:ascii="Garamond" w:hAnsi="Garamond"/>
          <w:sz w:val="26"/>
          <w:szCs w:val="26"/>
        </w:rPr>
      </w:pPr>
      <w:r w:rsidRPr="001E6458">
        <w:rPr>
          <w:rFonts w:ascii="Garamond" w:hAnsi="Garamond"/>
          <w:sz w:val="26"/>
          <w:szCs w:val="26"/>
        </w:rPr>
        <w:t>VIII.</w:t>
      </w:r>
      <w:r w:rsidRPr="001E6458">
        <w:rPr>
          <w:rFonts w:ascii="Garamond" w:hAnsi="Garamond"/>
          <w:sz w:val="26"/>
          <w:szCs w:val="26"/>
        </w:rPr>
        <w:tab/>
      </w:r>
      <w:r w:rsidRPr="001E6458">
        <w:rPr>
          <w:rFonts w:ascii="Garamond" w:hAnsi="Garamond" w:cs="AppleSystemUIFont"/>
          <w:bCs/>
          <w:sz w:val="26"/>
          <w:szCs w:val="26"/>
        </w:rPr>
        <w:t>Developmental science and juveniles</w:t>
      </w:r>
      <w:r w:rsidR="003B3D53" w:rsidRPr="001E6458">
        <w:rPr>
          <w:rFonts w:ascii="Garamond" w:hAnsi="Garamond"/>
          <w:szCs w:val="26"/>
        </w:rPr>
        <w:t xml:space="preserve"> </w:t>
      </w:r>
      <w:r w:rsidR="003B3D53" w:rsidRPr="008E6F68">
        <w:rPr>
          <w:rFonts w:ascii="Garamond" w:hAnsi="Garamond"/>
          <w:sz w:val="26"/>
          <w:szCs w:val="26"/>
        </w:rPr>
        <w:ptab w:relativeTo="margin" w:alignment="right" w:leader="dot"/>
      </w:r>
      <w:r w:rsidR="002607B5">
        <w:rPr>
          <w:rFonts w:ascii="Garamond" w:hAnsi="Garamond"/>
          <w:sz w:val="26"/>
          <w:szCs w:val="26"/>
        </w:rPr>
        <w:t>24</w:t>
      </w:r>
    </w:p>
    <w:p w14:paraId="2729244C" w14:textId="776D530D" w:rsidR="003B3D53" w:rsidRDefault="003B3D53" w:rsidP="001E6458">
      <w:pPr>
        <w:rPr>
          <w:rFonts w:ascii="Garamond" w:hAnsi="Garamond"/>
          <w:sz w:val="26"/>
          <w:szCs w:val="26"/>
        </w:rPr>
      </w:pPr>
      <w:r>
        <w:rPr>
          <w:rFonts w:ascii="Garamond" w:hAnsi="Garamond" w:cs="AppleSystemUIFont"/>
          <w:b/>
          <w:bCs/>
          <w:sz w:val="26"/>
          <w:szCs w:val="26"/>
        </w:rPr>
        <w:tab/>
      </w:r>
      <w:r w:rsidRPr="003B3D53">
        <w:rPr>
          <w:rFonts w:ascii="Garamond" w:hAnsi="Garamond" w:cs="AppleSystemUIFont"/>
          <w:bCs/>
          <w:sz w:val="26"/>
          <w:szCs w:val="26"/>
        </w:rPr>
        <w:t>A.</w:t>
      </w:r>
      <w:r w:rsidRPr="003B3D53">
        <w:rPr>
          <w:rFonts w:ascii="Garamond" w:hAnsi="Garamond" w:cs="AppleSystemUIFont"/>
          <w:bCs/>
          <w:sz w:val="26"/>
          <w:szCs w:val="26"/>
        </w:rPr>
        <w:tab/>
        <w:t xml:space="preserve">Juveniles and </w:t>
      </w:r>
      <w:r w:rsidRPr="003B3D53">
        <w:rPr>
          <w:rFonts w:ascii="Garamond" w:hAnsi="Garamond" w:cs="AppleSystemUIFont"/>
          <w:bCs/>
          <w:i/>
          <w:sz w:val="26"/>
          <w:szCs w:val="26"/>
        </w:rPr>
        <w:t>Miranda</w:t>
      </w:r>
      <w:r w:rsidRPr="003B3D53">
        <w:rPr>
          <w:rFonts w:ascii="Garamond" w:hAnsi="Garamond" w:cs="AppleSystemUIFont"/>
          <w:bCs/>
          <w:sz w:val="26"/>
          <w:szCs w:val="26"/>
        </w:rPr>
        <w:t xml:space="preserve"> Warnings</w:t>
      </w:r>
      <w:r w:rsidRPr="008E6F68">
        <w:rPr>
          <w:rFonts w:ascii="Garamond" w:hAnsi="Garamond"/>
          <w:sz w:val="26"/>
          <w:szCs w:val="26"/>
        </w:rPr>
        <w:ptab w:relativeTo="margin" w:alignment="right" w:leader="dot"/>
      </w:r>
      <w:r w:rsidR="002607B5">
        <w:rPr>
          <w:rFonts w:ascii="Garamond" w:hAnsi="Garamond"/>
          <w:sz w:val="26"/>
          <w:szCs w:val="26"/>
        </w:rPr>
        <w:t>26</w:t>
      </w:r>
    </w:p>
    <w:p w14:paraId="72861F08" w14:textId="0C3AB238" w:rsidR="003B3D53" w:rsidRPr="003B3D53" w:rsidRDefault="003B3D53" w:rsidP="001E6458">
      <w:pPr>
        <w:rPr>
          <w:rFonts w:ascii="Garamond" w:hAnsi="Garamond"/>
          <w:sz w:val="26"/>
          <w:szCs w:val="26"/>
        </w:rPr>
      </w:pPr>
      <w:r w:rsidRPr="003B3D53">
        <w:rPr>
          <w:rFonts w:ascii="Garamond" w:hAnsi="Garamond"/>
          <w:sz w:val="26"/>
          <w:szCs w:val="26"/>
        </w:rPr>
        <w:tab/>
      </w:r>
      <w:r w:rsidRPr="003B3D53">
        <w:rPr>
          <w:rFonts w:ascii="Garamond" w:hAnsi="Garamond"/>
          <w:sz w:val="26"/>
          <w:szCs w:val="26"/>
        </w:rPr>
        <w:tab/>
      </w:r>
      <w:r w:rsidRPr="003B3D53">
        <w:rPr>
          <w:rFonts w:ascii="Garamond" w:hAnsi="Garamond" w:cs="AppleSystemUIFont"/>
          <w:bCs/>
          <w:sz w:val="26"/>
          <w:szCs w:val="26"/>
        </w:rPr>
        <w:t>1.</w:t>
      </w:r>
      <w:r w:rsidRPr="003B3D53">
        <w:rPr>
          <w:rFonts w:ascii="Garamond" w:hAnsi="Garamond" w:cs="AppleSystemUIFont"/>
          <w:bCs/>
          <w:sz w:val="26"/>
          <w:szCs w:val="26"/>
        </w:rPr>
        <w:tab/>
        <w:t xml:space="preserve">Proper advisement of a juveniles </w:t>
      </w:r>
      <w:r w:rsidRPr="003B3D53">
        <w:rPr>
          <w:rFonts w:ascii="Garamond" w:hAnsi="Garamond" w:cs="AppleSystemUIFont"/>
          <w:bCs/>
          <w:i/>
          <w:iCs/>
          <w:sz w:val="26"/>
          <w:szCs w:val="26"/>
        </w:rPr>
        <w:t>Miranda</w:t>
      </w:r>
      <w:r w:rsidRPr="003B3D53">
        <w:rPr>
          <w:rFonts w:ascii="Garamond" w:hAnsi="Garamond" w:cs="AppleSystemUIFont"/>
          <w:bCs/>
          <w:sz w:val="26"/>
          <w:szCs w:val="26"/>
        </w:rPr>
        <w:t xml:space="preserve"> rights</w:t>
      </w:r>
      <w:r w:rsidRPr="008E6F68">
        <w:rPr>
          <w:rFonts w:ascii="Garamond" w:hAnsi="Garamond"/>
          <w:sz w:val="26"/>
          <w:szCs w:val="26"/>
        </w:rPr>
        <w:ptab w:relativeTo="margin" w:alignment="right" w:leader="dot"/>
      </w:r>
      <w:r w:rsidR="002607B5">
        <w:rPr>
          <w:rFonts w:ascii="Garamond" w:hAnsi="Garamond"/>
          <w:sz w:val="26"/>
          <w:szCs w:val="26"/>
        </w:rPr>
        <w:t>26</w:t>
      </w:r>
    </w:p>
    <w:p w14:paraId="0680EF22" w14:textId="4F525762" w:rsidR="003B3D53" w:rsidRPr="003B3D53" w:rsidRDefault="003B3D53" w:rsidP="003B3D53">
      <w:pPr>
        <w:keepNext/>
        <w:keepLines/>
        <w:ind w:firstLine="720"/>
        <w:rPr>
          <w:rFonts w:ascii="Garamond" w:hAnsi="Garamond" w:cs="AppleSystemUIFont"/>
          <w:bCs/>
          <w:sz w:val="26"/>
          <w:szCs w:val="26"/>
        </w:rPr>
      </w:pPr>
      <w:r w:rsidRPr="003B3D53">
        <w:rPr>
          <w:rFonts w:ascii="Garamond" w:hAnsi="Garamond" w:cs="AppleSystemUIFont"/>
          <w:bCs/>
          <w:sz w:val="26"/>
          <w:szCs w:val="26"/>
        </w:rPr>
        <w:tab/>
        <w:t>2.</w:t>
      </w:r>
      <w:r w:rsidRPr="003B3D53">
        <w:rPr>
          <w:rFonts w:ascii="Garamond" w:hAnsi="Garamond" w:cs="AppleSystemUIFont"/>
          <w:bCs/>
          <w:sz w:val="26"/>
          <w:szCs w:val="26"/>
        </w:rPr>
        <w:tab/>
        <w:t xml:space="preserve">A juvenile’s knowing and intelligent waiver of their </w:t>
      </w:r>
      <w:r w:rsidRPr="003B3D53">
        <w:rPr>
          <w:rFonts w:ascii="Garamond" w:hAnsi="Garamond" w:cs="AppleSystemUIFont"/>
          <w:bCs/>
          <w:i/>
          <w:sz w:val="26"/>
          <w:szCs w:val="26"/>
        </w:rPr>
        <w:t xml:space="preserve">Miranda </w:t>
      </w:r>
      <w:r w:rsidRPr="003B3D53">
        <w:rPr>
          <w:rFonts w:ascii="Garamond" w:hAnsi="Garamond" w:cs="AppleSystemUIFont"/>
          <w:bCs/>
          <w:sz w:val="26"/>
          <w:szCs w:val="26"/>
        </w:rPr>
        <w:t>rights</w:t>
      </w:r>
      <w:r w:rsidR="005C0B5B" w:rsidRPr="008E6F68">
        <w:rPr>
          <w:rFonts w:ascii="Garamond" w:hAnsi="Garamond"/>
          <w:sz w:val="26"/>
          <w:szCs w:val="26"/>
        </w:rPr>
        <w:ptab w:relativeTo="margin" w:alignment="right" w:leader="dot"/>
      </w:r>
      <w:r w:rsidR="002607B5">
        <w:rPr>
          <w:rFonts w:ascii="Garamond" w:hAnsi="Garamond"/>
          <w:sz w:val="26"/>
          <w:szCs w:val="26"/>
        </w:rPr>
        <w:t>27</w:t>
      </w:r>
    </w:p>
    <w:p w14:paraId="2BDDC891" w14:textId="08F64AF4" w:rsidR="006742BE" w:rsidRPr="006742BE" w:rsidRDefault="003B3D53" w:rsidP="003B3D53">
      <w:pPr>
        <w:rPr>
          <w:rFonts w:ascii="Garamond" w:hAnsi="Garamond"/>
          <w:sz w:val="26"/>
          <w:szCs w:val="26"/>
        </w:rPr>
      </w:pPr>
      <w:r w:rsidRPr="003B3D53">
        <w:rPr>
          <w:rFonts w:ascii="Garamond" w:hAnsi="Garamond" w:cs="AppleSystemUIFont"/>
          <w:bCs/>
          <w:sz w:val="26"/>
          <w:szCs w:val="26"/>
        </w:rPr>
        <w:tab/>
      </w:r>
      <w:r w:rsidRPr="003B3D53">
        <w:rPr>
          <w:rFonts w:ascii="Garamond" w:hAnsi="Garamond" w:cs="AppleSystemUIFont"/>
          <w:bCs/>
          <w:sz w:val="26"/>
          <w:szCs w:val="26"/>
        </w:rPr>
        <w:tab/>
        <w:t>3.</w:t>
      </w:r>
      <w:r w:rsidRPr="003B3D53">
        <w:rPr>
          <w:rFonts w:ascii="Garamond" w:hAnsi="Garamond" w:cs="AppleSystemUIFont"/>
          <w:bCs/>
          <w:sz w:val="26"/>
          <w:szCs w:val="26"/>
        </w:rPr>
        <w:tab/>
        <w:t xml:space="preserve">Racial disparities and the valid </w:t>
      </w:r>
      <w:r w:rsidRPr="003B3D53">
        <w:rPr>
          <w:rFonts w:ascii="Garamond" w:hAnsi="Garamond" w:cs="AppleSystemUIFont"/>
          <w:bCs/>
          <w:i/>
          <w:iCs/>
          <w:sz w:val="26"/>
          <w:szCs w:val="26"/>
        </w:rPr>
        <w:t>Miranda</w:t>
      </w:r>
      <w:r w:rsidRPr="003B3D53">
        <w:rPr>
          <w:rFonts w:ascii="Garamond" w:hAnsi="Garamond" w:cs="AppleSystemUIFont"/>
          <w:bCs/>
          <w:sz w:val="26"/>
          <w:szCs w:val="26"/>
        </w:rPr>
        <w:t xml:space="preserve"> waiver</w:t>
      </w:r>
      <w:r w:rsidR="005C0B5B" w:rsidRPr="008E6F68">
        <w:rPr>
          <w:rFonts w:ascii="Garamond" w:hAnsi="Garamond"/>
          <w:sz w:val="26"/>
          <w:szCs w:val="26"/>
        </w:rPr>
        <w:ptab w:relativeTo="margin" w:alignment="right" w:leader="dot"/>
      </w:r>
      <w:r w:rsidR="002607B5">
        <w:rPr>
          <w:rFonts w:ascii="Garamond" w:hAnsi="Garamond"/>
          <w:sz w:val="26"/>
          <w:szCs w:val="26"/>
        </w:rPr>
        <w:t>27</w:t>
      </w:r>
    </w:p>
    <w:p w14:paraId="23A9ADBB" w14:textId="61BD6B4D" w:rsidR="008E6F68" w:rsidRPr="005C0B5B" w:rsidRDefault="005C0B5B" w:rsidP="005C0B5B">
      <w:pPr>
        <w:rPr>
          <w:rFonts w:ascii="Garamond" w:hAnsi="Garamond"/>
          <w:sz w:val="26"/>
          <w:szCs w:val="26"/>
        </w:rPr>
      </w:pPr>
      <w:r>
        <w:rPr>
          <w:rFonts w:ascii="Garamond" w:hAnsi="Garamond" w:cs="AppleSystemUIFont"/>
          <w:b/>
          <w:bCs/>
          <w:sz w:val="26"/>
          <w:szCs w:val="26"/>
        </w:rPr>
        <w:tab/>
      </w:r>
      <w:r>
        <w:rPr>
          <w:rFonts w:ascii="Garamond" w:hAnsi="Garamond" w:cs="AppleSystemUIFont"/>
          <w:b/>
          <w:bCs/>
          <w:sz w:val="26"/>
          <w:szCs w:val="26"/>
        </w:rPr>
        <w:tab/>
      </w:r>
      <w:r w:rsidRPr="005C0B5B">
        <w:rPr>
          <w:rFonts w:ascii="Garamond" w:hAnsi="Garamond" w:cs="AppleSystemUIFont"/>
          <w:bCs/>
          <w:sz w:val="26"/>
          <w:szCs w:val="26"/>
        </w:rPr>
        <w:t>4.</w:t>
      </w:r>
      <w:r w:rsidRPr="005C0B5B">
        <w:rPr>
          <w:rFonts w:ascii="Garamond" w:hAnsi="Garamond" w:cs="AppleSystemUIFont"/>
          <w:bCs/>
          <w:sz w:val="26"/>
          <w:szCs w:val="26"/>
        </w:rPr>
        <w:tab/>
        <w:t>Violation of the right to silence</w:t>
      </w:r>
      <w:r w:rsidRPr="008E6F68">
        <w:rPr>
          <w:rFonts w:ascii="Garamond" w:hAnsi="Garamond"/>
          <w:sz w:val="26"/>
          <w:szCs w:val="26"/>
        </w:rPr>
        <w:ptab w:relativeTo="margin" w:alignment="right" w:leader="dot"/>
      </w:r>
      <w:r w:rsidR="002607B5">
        <w:rPr>
          <w:rFonts w:ascii="Garamond" w:hAnsi="Garamond"/>
          <w:sz w:val="26"/>
          <w:szCs w:val="26"/>
        </w:rPr>
        <w:t>27</w:t>
      </w:r>
    </w:p>
    <w:p w14:paraId="3F0EDC37" w14:textId="7C5AF844" w:rsidR="008E6F68" w:rsidRPr="005C0B5B" w:rsidRDefault="005C0B5B" w:rsidP="008E6F68">
      <w:pPr>
        <w:rPr>
          <w:rFonts w:ascii="Garamond" w:hAnsi="Garamond"/>
          <w:sz w:val="26"/>
          <w:szCs w:val="26"/>
        </w:rPr>
      </w:pPr>
      <w:r>
        <w:rPr>
          <w:rFonts w:ascii="Garamond" w:hAnsi="Garamond" w:cs="AppleSystemUIFont"/>
          <w:b/>
          <w:bCs/>
          <w:sz w:val="26"/>
          <w:szCs w:val="26"/>
        </w:rPr>
        <w:tab/>
      </w:r>
      <w:r w:rsidRPr="005C0B5B">
        <w:rPr>
          <w:rFonts w:ascii="Garamond" w:hAnsi="Garamond" w:cs="AppleSystemUIFont"/>
          <w:bCs/>
          <w:sz w:val="26"/>
          <w:szCs w:val="26"/>
        </w:rPr>
        <w:t>B.</w:t>
      </w:r>
      <w:r w:rsidRPr="005C0B5B">
        <w:rPr>
          <w:rFonts w:ascii="Garamond" w:hAnsi="Garamond" w:cs="AppleSystemUIFont"/>
          <w:bCs/>
          <w:sz w:val="26"/>
          <w:szCs w:val="26"/>
        </w:rPr>
        <w:tab/>
        <w:t>Improper interrogation techniques involving juveniles</w:t>
      </w:r>
      <w:r w:rsidRPr="008E6F68">
        <w:rPr>
          <w:rFonts w:ascii="Garamond" w:hAnsi="Garamond"/>
          <w:sz w:val="26"/>
          <w:szCs w:val="26"/>
        </w:rPr>
        <w:ptab w:relativeTo="margin" w:alignment="right" w:leader="dot"/>
      </w:r>
      <w:r w:rsidR="002607B5">
        <w:rPr>
          <w:rFonts w:ascii="Garamond" w:hAnsi="Garamond"/>
          <w:sz w:val="26"/>
          <w:szCs w:val="26"/>
        </w:rPr>
        <w:t>28</w:t>
      </w:r>
    </w:p>
    <w:p w14:paraId="46E96079" w14:textId="3760881E" w:rsidR="008E6F68" w:rsidRDefault="009A7700" w:rsidP="008E6F68">
      <w:pPr>
        <w:rPr>
          <w:rFonts w:ascii="Garamond" w:hAnsi="Garamond"/>
          <w:sz w:val="26"/>
          <w:szCs w:val="26"/>
        </w:rPr>
      </w:pPr>
      <w:r w:rsidRPr="009A7700">
        <w:tab/>
      </w:r>
      <w:r w:rsidRPr="009A7700">
        <w:tab/>
      </w:r>
      <w:r w:rsidRPr="009A7700">
        <w:rPr>
          <w:rFonts w:ascii="Garamond" w:hAnsi="Garamond" w:cs="AppleSystemUIFont"/>
          <w:bCs/>
          <w:sz w:val="26"/>
          <w:szCs w:val="26"/>
        </w:rPr>
        <w:t>1.</w:t>
      </w:r>
      <w:r w:rsidRPr="009A7700">
        <w:rPr>
          <w:rFonts w:ascii="Garamond" w:hAnsi="Garamond" w:cs="AppleSystemUIFont"/>
          <w:bCs/>
          <w:sz w:val="26"/>
          <w:szCs w:val="26"/>
        </w:rPr>
        <w:tab/>
        <w:t xml:space="preserve">Using false information to elicit information from juveniles [e.g., use of </w:t>
      </w:r>
      <w:r>
        <w:rPr>
          <w:rFonts w:ascii="Garamond" w:hAnsi="Garamond" w:cs="AppleSystemUIFont"/>
          <w:bCs/>
          <w:sz w:val="26"/>
          <w:szCs w:val="26"/>
        </w:rPr>
        <w:tab/>
      </w:r>
      <w:r>
        <w:rPr>
          <w:rFonts w:ascii="Garamond" w:hAnsi="Garamond" w:cs="AppleSystemUIFont"/>
          <w:bCs/>
          <w:sz w:val="26"/>
          <w:szCs w:val="26"/>
        </w:rPr>
        <w:tab/>
      </w:r>
      <w:r>
        <w:rPr>
          <w:rFonts w:ascii="Garamond" w:hAnsi="Garamond" w:cs="AppleSystemUIFont"/>
          <w:bCs/>
          <w:sz w:val="26"/>
          <w:szCs w:val="26"/>
        </w:rPr>
        <w:tab/>
      </w:r>
      <w:r w:rsidRPr="009A7700">
        <w:rPr>
          <w:rFonts w:ascii="Garamond" w:hAnsi="Garamond" w:cs="AppleSystemUIFont"/>
          <w:bCs/>
          <w:sz w:val="26"/>
          <w:szCs w:val="26"/>
        </w:rPr>
        <w:t>the Reid Technique of interrogation]</w:t>
      </w:r>
      <w:r w:rsidRPr="009A7700">
        <w:rPr>
          <w:rFonts w:ascii="Garamond" w:hAnsi="Garamond"/>
          <w:sz w:val="26"/>
          <w:szCs w:val="26"/>
        </w:rPr>
        <w:t xml:space="preserve"> </w:t>
      </w:r>
      <w:r w:rsidRPr="008E6F68">
        <w:rPr>
          <w:rFonts w:ascii="Garamond" w:hAnsi="Garamond"/>
          <w:sz w:val="26"/>
          <w:szCs w:val="26"/>
        </w:rPr>
        <w:ptab w:relativeTo="margin" w:alignment="right" w:leader="dot"/>
      </w:r>
      <w:r w:rsidR="002607B5">
        <w:rPr>
          <w:rFonts w:ascii="Garamond" w:hAnsi="Garamond"/>
          <w:sz w:val="26"/>
          <w:szCs w:val="26"/>
        </w:rPr>
        <w:t>28</w:t>
      </w:r>
    </w:p>
    <w:p w14:paraId="2FF7984B" w14:textId="77777777" w:rsidR="00BB26DD" w:rsidRPr="009A7700" w:rsidRDefault="00BB26DD" w:rsidP="008E6F68"/>
    <w:p w14:paraId="4FA0C68D" w14:textId="4ED763B2" w:rsidR="00825DF7" w:rsidRPr="00825DF7" w:rsidRDefault="00825DF7" w:rsidP="00825DF7">
      <w:pPr>
        <w:jc w:val="center"/>
        <w:rPr>
          <w:b/>
          <w:sz w:val="26"/>
          <w:szCs w:val="26"/>
        </w:rPr>
      </w:pPr>
      <w:r w:rsidRPr="00825DF7">
        <w:rPr>
          <w:rFonts w:ascii="Garamond" w:hAnsi="Garamond"/>
          <w:b/>
          <w:sz w:val="26"/>
          <w:szCs w:val="26"/>
        </w:rPr>
        <w:lastRenderedPageBreak/>
        <w:t>TABLE OF CONTENTS</w:t>
      </w:r>
      <w:r>
        <w:rPr>
          <w:rFonts w:ascii="Garamond" w:hAnsi="Garamond"/>
          <w:b/>
          <w:sz w:val="26"/>
          <w:szCs w:val="26"/>
        </w:rPr>
        <w:t xml:space="preserve"> (CONTINUED)</w:t>
      </w:r>
    </w:p>
    <w:p w14:paraId="6292E40D" w14:textId="21B2D097" w:rsidR="002A4A07" w:rsidRDefault="009A7700" w:rsidP="002A4A07">
      <w:pPr>
        <w:rPr>
          <w:rFonts w:ascii="Garamond" w:hAnsi="Garamond"/>
          <w:sz w:val="26"/>
          <w:szCs w:val="26"/>
        </w:rPr>
      </w:pPr>
      <w:r w:rsidRPr="009A7700">
        <w:tab/>
      </w:r>
      <w:r w:rsidRPr="009A7700">
        <w:tab/>
      </w:r>
      <w:r w:rsidRPr="009A7700">
        <w:rPr>
          <w:rFonts w:ascii="Garamond" w:hAnsi="Garamond" w:cs="AppleSystemUIFont"/>
          <w:bCs/>
          <w:sz w:val="26"/>
          <w:szCs w:val="26"/>
        </w:rPr>
        <w:t>2.</w:t>
      </w:r>
      <w:r w:rsidRPr="009A7700">
        <w:rPr>
          <w:rFonts w:ascii="Garamond" w:hAnsi="Garamond" w:cs="AppleSystemUIFont"/>
          <w:bCs/>
          <w:sz w:val="26"/>
          <w:szCs w:val="26"/>
        </w:rPr>
        <w:tab/>
        <w:t>Juveniles and false confessions</w:t>
      </w:r>
      <w:r w:rsidRPr="009A7700">
        <w:rPr>
          <w:rFonts w:ascii="Garamond" w:hAnsi="Garamond"/>
          <w:sz w:val="26"/>
          <w:szCs w:val="26"/>
        </w:rPr>
        <w:t xml:space="preserve"> </w:t>
      </w:r>
      <w:r w:rsidRPr="008E6F68">
        <w:rPr>
          <w:rFonts w:ascii="Garamond" w:hAnsi="Garamond"/>
          <w:sz w:val="26"/>
          <w:szCs w:val="26"/>
        </w:rPr>
        <w:ptab w:relativeTo="margin" w:alignment="right" w:leader="dot"/>
      </w:r>
      <w:r w:rsidR="00927D48">
        <w:rPr>
          <w:rFonts w:ascii="Garamond" w:hAnsi="Garamond"/>
          <w:sz w:val="26"/>
          <w:szCs w:val="26"/>
        </w:rPr>
        <w:t>29</w:t>
      </w:r>
    </w:p>
    <w:p w14:paraId="6B69A1F6" w14:textId="63F90719" w:rsidR="009A7700" w:rsidRPr="009A7700" w:rsidRDefault="009A7700" w:rsidP="009A7700">
      <w:pPr>
        <w:keepNext/>
        <w:keepLines/>
        <w:ind w:firstLine="720"/>
        <w:rPr>
          <w:rFonts w:ascii="Garamond" w:hAnsi="Garamond" w:cs="AppleSystemUIFont"/>
          <w:bCs/>
          <w:sz w:val="26"/>
          <w:szCs w:val="26"/>
        </w:rPr>
      </w:pPr>
      <w:r>
        <w:rPr>
          <w:rFonts w:ascii="Garamond" w:hAnsi="Garamond" w:cs="AppleSystemUIFont"/>
          <w:b/>
          <w:bCs/>
          <w:sz w:val="26"/>
          <w:szCs w:val="26"/>
        </w:rPr>
        <w:tab/>
      </w:r>
      <w:r w:rsidRPr="009A7700">
        <w:rPr>
          <w:rFonts w:ascii="Garamond" w:hAnsi="Garamond" w:cs="AppleSystemUIFont"/>
          <w:bCs/>
          <w:sz w:val="26"/>
          <w:szCs w:val="26"/>
        </w:rPr>
        <w:t>3.</w:t>
      </w:r>
      <w:r w:rsidRPr="009A7700">
        <w:rPr>
          <w:rFonts w:ascii="Garamond" w:hAnsi="Garamond" w:cs="AppleSystemUIFont"/>
          <w:bCs/>
          <w:sz w:val="26"/>
          <w:szCs w:val="26"/>
        </w:rPr>
        <w:tab/>
        <w:t>Juveniles and reckless indifference</w:t>
      </w:r>
      <w:r w:rsidRPr="008E6F68">
        <w:rPr>
          <w:rFonts w:ascii="Garamond" w:hAnsi="Garamond"/>
          <w:sz w:val="26"/>
          <w:szCs w:val="26"/>
        </w:rPr>
        <w:ptab w:relativeTo="margin" w:alignment="right" w:leader="dot"/>
      </w:r>
      <w:r w:rsidRPr="008E6F68">
        <w:rPr>
          <w:rFonts w:ascii="Garamond" w:hAnsi="Garamond"/>
          <w:sz w:val="26"/>
          <w:szCs w:val="26"/>
        </w:rPr>
        <w:t>3</w:t>
      </w:r>
      <w:r w:rsidR="00927D48">
        <w:rPr>
          <w:rFonts w:ascii="Garamond" w:hAnsi="Garamond"/>
          <w:sz w:val="26"/>
          <w:szCs w:val="26"/>
        </w:rPr>
        <w:t>0</w:t>
      </w:r>
    </w:p>
    <w:p w14:paraId="1E9BA158" w14:textId="6392268B" w:rsidR="009A7700" w:rsidRPr="009A7700" w:rsidRDefault="009A7700" w:rsidP="009A7700">
      <w:r w:rsidRPr="009A7700">
        <w:rPr>
          <w:rFonts w:ascii="Garamond" w:hAnsi="Garamond" w:cs="AppleSystemUIFont"/>
          <w:bCs/>
          <w:sz w:val="26"/>
          <w:szCs w:val="26"/>
        </w:rPr>
        <w:t>IX.</w:t>
      </w:r>
      <w:r w:rsidRPr="009A7700">
        <w:rPr>
          <w:rFonts w:ascii="Garamond" w:hAnsi="Garamond" w:cs="AppleSystemUIFont"/>
          <w:bCs/>
          <w:sz w:val="26"/>
          <w:szCs w:val="26"/>
        </w:rPr>
        <w:tab/>
        <w:t>Homelessness, self-defense, and imperfect self-defense in homicide cases</w:t>
      </w:r>
      <w:r w:rsidRPr="008E6F68">
        <w:rPr>
          <w:rFonts w:ascii="Garamond" w:hAnsi="Garamond"/>
          <w:sz w:val="26"/>
          <w:szCs w:val="26"/>
        </w:rPr>
        <w:ptab w:relativeTo="margin" w:alignment="right" w:leader="dot"/>
      </w:r>
      <w:r w:rsidRPr="008E6F68">
        <w:rPr>
          <w:rFonts w:ascii="Garamond" w:hAnsi="Garamond"/>
          <w:sz w:val="26"/>
          <w:szCs w:val="26"/>
        </w:rPr>
        <w:t>3</w:t>
      </w:r>
      <w:r w:rsidR="00927D48">
        <w:rPr>
          <w:rFonts w:ascii="Garamond" w:hAnsi="Garamond"/>
          <w:sz w:val="26"/>
          <w:szCs w:val="26"/>
        </w:rPr>
        <w:t>0</w:t>
      </w:r>
    </w:p>
    <w:p w14:paraId="4E95057A" w14:textId="78DD81E0" w:rsidR="009A7700" w:rsidRDefault="009A7700" w:rsidP="009A7700">
      <w:pPr>
        <w:pStyle w:val="TOC1"/>
      </w:pPr>
      <w:r w:rsidRPr="009A7700">
        <w:t>X.</w:t>
      </w:r>
      <w:r w:rsidRPr="009A7700">
        <w:tab/>
        <w:t>P</w:t>
      </w:r>
      <w:r w:rsidRPr="009A7700">
        <w:rPr>
          <w:caps w:val="0"/>
        </w:rPr>
        <w:t>olice use of force: how much is too much</w:t>
      </w:r>
      <w:r w:rsidRPr="009A7700">
        <w:t xml:space="preserve">? </w:t>
      </w:r>
      <w:r w:rsidRPr="008E6F68">
        <w:ptab w:relativeTo="margin" w:alignment="right" w:leader="dot"/>
      </w:r>
      <w:r w:rsidRPr="008E6F68">
        <w:t>3</w:t>
      </w:r>
      <w:r w:rsidR="00927D48">
        <w:t>1</w:t>
      </w:r>
      <w:r w:rsidR="002B776A" w:rsidRPr="009A7700">
        <w:t xml:space="preserve"> </w:t>
      </w:r>
    </w:p>
    <w:p w14:paraId="336DAFE1" w14:textId="64CC7758" w:rsidR="009A7700" w:rsidRPr="009A7700" w:rsidRDefault="009A7700" w:rsidP="009A7700">
      <w:pPr>
        <w:pStyle w:val="TOC1"/>
      </w:pPr>
      <w:r>
        <w:t>XI.</w:t>
      </w:r>
      <w:r>
        <w:tab/>
      </w:r>
      <w:r w:rsidRPr="009A7700">
        <w:rPr>
          <w:rFonts w:cs="AppleSystemUIFont"/>
          <w:bCs/>
        </w:rPr>
        <w:t>D</w:t>
      </w:r>
      <w:r w:rsidRPr="009A7700">
        <w:rPr>
          <w:rFonts w:cs="AppleSystemUIFont"/>
          <w:bCs/>
          <w:caps w:val="0"/>
        </w:rPr>
        <w:t>ependency</w:t>
      </w:r>
      <w:r w:rsidRPr="008E6F68">
        <w:ptab w:relativeTo="margin" w:alignment="right" w:leader="dot"/>
      </w:r>
      <w:r w:rsidRPr="008E6F68">
        <w:t>3</w:t>
      </w:r>
      <w:r w:rsidR="00927D48">
        <w:t>3</w:t>
      </w:r>
    </w:p>
    <w:p w14:paraId="63DF0178" w14:textId="130B464F" w:rsidR="009A7700" w:rsidRDefault="009A7700" w:rsidP="009A7700">
      <w:pPr>
        <w:rPr>
          <w:rFonts w:ascii="Garamond" w:hAnsi="Garamond"/>
          <w:sz w:val="26"/>
          <w:szCs w:val="26"/>
        </w:rPr>
      </w:pPr>
      <w:r>
        <w:rPr>
          <w:rFonts w:ascii="Garamond" w:hAnsi="Garamond" w:cs="AppleSystemUIFont"/>
          <w:b/>
          <w:bCs/>
          <w:sz w:val="26"/>
          <w:szCs w:val="26"/>
        </w:rPr>
        <w:tab/>
      </w:r>
      <w:r w:rsidRPr="009A7700">
        <w:rPr>
          <w:rFonts w:ascii="Garamond" w:hAnsi="Garamond" w:cs="AppleSystemUIFont"/>
          <w:bCs/>
          <w:sz w:val="26"/>
          <w:szCs w:val="26"/>
        </w:rPr>
        <w:t>A.</w:t>
      </w:r>
      <w:r w:rsidRPr="009A7700">
        <w:rPr>
          <w:rFonts w:ascii="Garamond" w:hAnsi="Garamond" w:cs="AppleSystemUIFont"/>
          <w:bCs/>
          <w:sz w:val="26"/>
          <w:szCs w:val="26"/>
        </w:rPr>
        <w:tab/>
        <w:t>Permanency</w:t>
      </w:r>
      <w:r w:rsidRPr="008E6F68">
        <w:rPr>
          <w:rFonts w:ascii="Garamond" w:hAnsi="Garamond"/>
          <w:sz w:val="26"/>
          <w:szCs w:val="26"/>
        </w:rPr>
        <w:ptab w:relativeTo="margin" w:alignment="right" w:leader="dot"/>
      </w:r>
      <w:r w:rsidRPr="008E6F68">
        <w:rPr>
          <w:rFonts w:ascii="Garamond" w:hAnsi="Garamond"/>
          <w:sz w:val="26"/>
          <w:szCs w:val="26"/>
        </w:rPr>
        <w:t>3</w:t>
      </w:r>
      <w:r w:rsidR="00927D48">
        <w:rPr>
          <w:rFonts w:ascii="Garamond" w:hAnsi="Garamond"/>
          <w:sz w:val="26"/>
          <w:szCs w:val="26"/>
        </w:rPr>
        <w:t>3</w:t>
      </w:r>
    </w:p>
    <w:p w14:paraId="55AF7EE6" w14:textId="32950849" w:rsidR="009A7700" w:rsidRPr="009A7700" w:rsidRDefault="009A7700" w:rsidP="009A7700">
      <w:pPr>
        <w:keepNext/>
        <w:keepLines/>
        <w:rPr>
          <w:rFonts w:ascii="Garamond" w:hAnsi="Garamond" w:cs="AppleSystemUIFont"/>
          <w:bCs/>
          <w:sz w:val="26"/>
          <w:szCs w:val="26"/>
        </w:rPr>
      </w:pPr>
      <w:r>
        <w:rPr>
          <w:rFonts w:ascii="Garamond" w:hAnsi="Garamond" w:cs="AppleSystemUIFont"/>
          <w:b/>
          <w:bCs/>
          <w:sz w:val="26"/>
          <w:szCs w:val="26"/>
        </w:rPr>
        <w:tab/>
      </w:r>
      <w:r w:rsidRPr="009A7700">
        <w:rPr>
          <w:rFonts w:ascii="Garamond" w:hAnsi="Garamond" w:cs="AppleSystemUIFont"/>
          <w:bCs/>
          <w:sz w:val="26"/>
          <w:szCs w:val="26"/>
        </w:rPr>
        <w:t>B.</w:t>
      </w:r>
      <w:r w:rsidRPr="009A7700">
        <w:rPr>
          <w:rFonts w:ascii="Garamond" w:hAnsi="Garamond" w:cs="AppleSystemUIFont"/>
          <w:bCs/>
          <w:sz w:val="26"/>
          <w:szCs w:val="26"/>
        </w:rPr>
        <w:tab/>
        <w:t>Sibling Relationship Exception</w:t>
      </w:r>
      <w:r w:rsidR="00203D62" w:rsidRPr="008E6F68">
        <w:rPr>
          <w:rFonts w:ascii="Garamond" w:hAnsi="Garamond"/>
          <w:sz w:val="26"/>
          <w:szCs w:val="26"/>
        </w:rPr>
        <w:ptab w:relativeTo="margin" w:alignment="right" w:leader="dot"/>
      </w:r>
      <w:r w:rsidR="00203D62" w:rsidRPr="008E6F68">
        <w:rPr>
          <w:rFonts w:ascii="Garamond" w:hAnsi="Garamond"/>
          <w:sz w:val="26"/>
          <w:szCs w:val="26"/>
        </w:rPr>
        <w:t>3</w:t>
      </w:r>
      <w:r w:rsidR="00927D48">
        <w:rPr>
          <w:rFonts w:ascii="Garamond" w:hAnsi="Garamond"/>
          <w:sz w:val="26"/>
          <w:szCs w:val="26"/>
        </w:rPr>
        <w:t>3</w:t>
      </w:r>
    </w:p>
    <w:p w14:paraId="23EF62B3" w14:textId="1A6BAC38" w:rsidR="00203D62" w:rsidRDefault="009A7700" w:rsidP="009A7700">
      <w:pPr>
        <w:rPr>
          <w:rFonts w:ascii="Garamond" w:hAnsi="Garamond"/>
          <w:sz w:val="26"/>
          <w:szCs w:val="26"/>
        </w:rPr>
      </w:pPr>
      <w:r w:rsidRPr="009A7700">
        <w:rPr>
          <w:rFonts w:ascii="Garamond" w:eastAsia="Times New Roman" w:hAnsi="Garamond" w:cs="Times New Roman"/>
          <w:bCs/>
          <w:sz w:val="26"/>
          <w:szCs w:val="26"/>
        </w:rPr>
        <w:tab/>
        <w:t>C.</w:t>
      </w:r>
      <w:r w:rsidRPr="009A7700">
        <w:rPr>
          <w:rFonts w:ascii="Garamond" w:eastAsia="Times New Roman" w:hAnsi="Garamond" w:cs="Times New Roman"/>
          <w:bCs/>
          <w:sz w:val="26"/>
          <w:szCs w:val="26"/>
        </w:rPr>
        <w:tab/>
        <w:t>Impact of COVID-19</w:t>
      </w:r>
      <w:r w:rsidR="00203D62" w:rsidRPr="008E6F68">
        <w:rPr>
          <w:rFonts w:ascii="Garamond" w:hAnsi="Garamond"/>
          <w:sz w:val="26"/>
          <w:szCs w:val="26"/>
        </w:rPr>
        <w:ptab w:relativeTo="margin" w:alignment="right" w:leader="dot"/>
      </w:r>
      <w:r w:rsidR="00203D62" w:rsidRPr="008E6F68">
        <w:rPr>
          <w:rFonts w:ascii="Garamond" w:hAnsi="Garamond"/>
          <w:sz w:val="26"/>
          <w:szCs w:val="26"/>
        </w:rPr>
        <w:t>3</w:t>
      </w:r>
      <w:r w:rsidR="00927D48">
        <w:rPr>
          <w:rFonts w:ascii="Garamond" w:hAnsi="Garamond"/>
          <w:sz w:val="26"/>
          <w:szCs w:val="26"/>
        </w:rPr>
        <w:t>4</w:t>
      </w:r>
    </w:p>
    <w:p w14:paraId="6B3BC19B" w14:textId="2FBA8FB3" w:rsidR="00203D62" w:rsidRDefault="00113BA2">
      <w:pPr>
        <w:rPr>
          <w:rFonts w:ascii="Garamond" w:hAnsi="Garamond"/>
          <w:sz w:val="26"/>
          <w:szCs w:val="26"/>
        </w:rPr>
      </w:pPr>
      <w:r>
        <w:rPr>
          <w:rFonts w:ascii="Garamond" w:hAnsi="Garamond"/>
          <w:sz w:val="26"/>
          <w:szCs w:val="26"/>
        </w:rPr>
        <w:t>XII.</w:t>
      </w:r>
      <w:r>
        <w:rPr>
          <w:rFonts w:ascii="Garamond" w:hAnsi="Garamond"/>
          <w:sz w:val="26"/>
          <w:szCs w:val="26"/>
        </w:rPr>
        <w:tab/>
      </w:r>
      <w:r w:rsidRPr="00113BA2">
        <w:rPr>
          <w:rFonts w:ascii="Garamond" w:hAnsi="Garamond"/>
          <w:sz w:val="26"/>
          <w:szCs w:val="26"/>
        </w:rPr>
        <w:t>Sources for further research</w:t>
      </w:r>
      <w:r w:rsidRPr="008E6F68">
        <w:rPr>
          <w:rFonts w:ascii="Garamond" w:hAnsi="Garamond"/>
          <w:sz w:val="26"/>
          <w:szCs w:val="26"/>
        </w:rPr>
        <w:ptab w:relativeTo="margin" w:alignment="right" w:leader="dot"/>
      </w:r>
      <w:r w:rsidRPr="008E6F68">
        <w:rPr>
          <w:rFonts w:ascii="Garamond" w:hAnsi="Garamond"/>
          <w:sz w:val="26"/>
          <w:szCs w:val="26"/>
        </w:rPr>
        <w:t>3</w:t>
      </w:r>
      <w:r w:rsidR="00927D48">
        <w:rPr>
          <w:rFonts w:ascii="Garamond" w:hAnsi="Garamond"/>
          <w:sz w:val="26"/>
          <w:szCs w:val="26"/>
        </w:rPr>
        <w:t>4</w:t>
      </w:r>
      <w:r>
        <w:rPr>
          <w:rFonts w:ascii="Garamond" w:hAnsi="Garamond"/>
          <w:sz w:val="26"/>
          <w:szCs w:val="26"/>
        </w:rPr>
        <w:t xml:space="preserve"> </w:t>
      </w:r>
      <w:r w:rsidR="00203D62">
        <w:rPr>
          <w:rFonts w:ascii="Garamond" w:hAnsi="Garamond"/>
          <w:sz w:val="26"/>
          <w:szCs w:val="26"/>
        </w:rPr>
        <w:br w:type="page"/>
      </w:r>
    </w:p>
    <w:p w14:paraId="16C04642" w14:textId="6B1ACE6E" w:rsidR="00AE380E" w:rsidRPr="00A00721" w:rsidRDefault="00A00721" w:rsidP="00A00721">
      <w:pPr>
        <w:jc w:val="center"/>
        <w:rPr>
          <w:rFonts w:ascii="Garamond" w:hAnsi="Garamond"/>
          <w:b/>
          <w:sz w:val="26"/>
          <w:szCs w:val="26"/>
        </w:rPr>
      </w:pPr>
      <w:r w:rsidRPr="00144DF5">
        <w:rPr>
          <w:rFonts w:ascii="Garamond" w:hAnsi="Garamond"/>
          <w:b/>
          <w:i/>
          <w:sz w:val="26"/>
          <w:szCs w:val="26"/>
        </w:rPr>
        <w:lastRenderedPageBreak/>
        <w:t>Using Social Science on Appeal</w:t>
      </w:r>
      <w:r w:rsidR="00724C3A">
        <w:rPr>
          <w:rFonts w:ascii="Garamond" w:hAnsi="Garamond"/>
          <w:b/>
          <w:i/>
          <w:sz w:val="26"/>
          <w:szCs w:val="26"/>
        </w:rPr>
        <w:t xml:space="preserve"> (or How to Bring the Court Back to Reality)</w:t>
      </w:r>
      <w:r w:rsidR="00144DF5">
        <w:rPr>
          <w:rFonts w:ascii="Garamond" w:hAnsi="Garamond"/>
          <w:b/>
          <w:sz w:val="26"/>
          <w:szCs w:val="26"/>
        </w:rPr>
        <w:br/>
      </w:r>
      <w:r w:rsidR="00724C3A">
        <w:rPr>
          <w:rFonts w:ascii="Garamond" w:hAnsi="Garamond"/>
          <w:b/>
          <w:sz w:val="26"/>
          <w:szCs w:val="26"/>
        </w:rPr>
        <w:t>by</w:t>
      </w:r>
      <w:r w:rsidR="00144DF5">
        <w:rPr>
          <w:rFonts w:ascii="Garamond" w:hAnsi="Garamond"/>
          <w:b/>
          <w:sz w:val="26"/>
          <w:szCs w:val="26"/>
        </w:rPr>
        <w:t xml:space="preserve"> Joseph Doyle and Anna Stuart</w:t>
      </w:r>
    </w:p>
    <w:p w14:paraId="695407B3" w14:textId="77777777" w:rsidR="00791899" w:rsidRDefault="00A00721" w:rsidP="00C52230">
      <w:pPr>
        <w:rPr>
          <w:rFonts w:ascii="Garamond" w:hAnsi="Garamond"/>
          <w:sz w:val="26"/>
          <w:szCs w:val="26"/>
        </w:rPr>
      </w:pPr>
      <w:r>
        <w:rPr>
          <w:rFonts w:ascii="Garamond" w:hAnsi="Garamond"/>
          <w:sz w:val="26"/>
          <w:szCs w:val="26"/>
        </w:rPr>
        <w:t>If you</w:t>
      </w:r>
      <w:r w:rsidR="00740BC4">
        <w:rPr>
          <w:rFonts w:ascii="Garamond" w:hAnsi="Garamond"/>
          <w:sz w:val="26"/>
          <w:szCs w:val="26"/>
        </w:rPr>
        <w:t>’</w:t>
      </w:r>
      <w:r>
        <w:rPr>
          <w:rFonts w:ascii="Garamond" w:hAnsi="Garamond"/>
          <w:sz w:val="26"/>
          <w:szCs w:val="26"/>
        </w:rPr>
        <w:t xml:space="preserve">ve been handling appeals for </w:t>
      </w:r>
      <w:r w:rsidR="00766B65">
        <w:rPr>
          <w:rFonts w:ascii="Garamond" w:hAnsi="Garamond"/>
          <w:sz w:val="26"/>
          <w:szCs w:val="26"/>
        </w:rPr>
        <w:t>a while</w:t>
      </w:r>
      <w:r>
        <w:rPr>
          <w:rFonts w:ascii="Garamond" w:hAnsi="Garamond"/>
          <w:sz w:val="26"/>
          <w:szCs w:val="26"/>
        </w:rPr>
        <w:t>, you</w:t>
      </w:r>
      <w:r w:rsidR="00740BC4">
        <w:rPr>
          <w:rFonts w:ascii="Garamond" w:hAnsi="Garamond"/>
          <w:sz w:val="26"/>
          <w:szCs w:val="26"/>
        </w:rPr>
        <w:t>’</w:t>
      </w:r>
      <w:r>
        <w:rPr>
          <w:rFonts w:ascii="Garamond" w:hAnsi="Garamond"/>
          <w:sz w:val="26"/>
          <w:szCs w:val="26"/>
        </w:rPr>
        <w:t xml:space="preserve">ve probably </w:t>
      </w:r>
      <w:r w:rsidR="00817495">
        <w:rPr>
          <w:rFonts w:ascii="Garamond" w:hAnsi="Garamond"/>
          <w:sz w:val="26"/>
          <w:szCs w:val="26"/>
        </w:rPr>
        <w:t>lost cases</w:t>
      </w:r>
      <w:r>
        <w:rPr>
          <w:rFonts w:ascii="Garamond" w:hAnsi="Garamond"/>
          <w:sz w:val="26"/>
          <w:szCs w:val="26"/>
        </w:rPr>
        <w:t xml:space="preserve"> </w:t>
      </w:r>
      <w:r w:rsidR="00766B65">
        <w:rPr>
          <w:rFonts w:ascii="Garamond" w:hAnsi="Garamond"/>
          <w:sz w:val="26"/>
          <w:szCs w:val="26"/>
        </w:rPr>
        <w:t>where</w:t>
      </w:r>
      <w:r>
        <w:rPr>
          <w:rFonts w:ascii="Garamond" w:hAnsi="Garamond"/>
          <w:sz w:val="26"/>
          <w:szCs w:val="26"/>
        </w:rPr>
        <w:t xml:space="preserve"> the court </w:t>
      </w:r>
      <w:r w:rsidR="00817495">
        <w:rPr>
          <w:rFonts w:ascii="Garamond" w:hAnsi="Garamond"/>
          <w:sz w:val="26"/>
          <w:szCs w:val="26"/>
        </w:rPr>
        <w:t>said</w:t>
      </w:r>
      <w:r>
        <w:rPr>
          <w:rFonts w:ascii="Garamond" w:hAnsi="Garamond"/>
          <w:sz w:val="26"/>
          <w:szCs w:val="26"/>
        </w:rPr>
        <w:t xml:space="preserve"> something like, </w:t>
      </w:r>
      <w:r w:rsidR="00740BC4">
        <w:rPr>
          <w:rFonts w:ascii="Garamond" w:hAnsi="Garamond"/>
          <w:sz w:val="26"/>
          <w:szCs w:val="26"/>
        </w:rPr>
        <w:t>“</w:t>
      </w:r>
      <w:r>
        <w:rPr>
          <w:rFonts w:ascii="Garamond" w:hAnsi="Garamond"/>
          <w:sz w:val="26"/>
          <w:szCs w:val="26"/>
        </w:rPr>
        <w:t>Oh, a reasonable perso</w:t>
      </w:r>
      <w:r w:rsidR="002A5AF2">
        <w:rPr>
          <w:rFonts w:ascii="Garamond" w:hAnsi="Garamond"/>
          <w:sz w:val="26"/>
          <w:szCs w:val="26"/>
        </w:rPr>
        <w:t>n would have felt free to leave</w:t>
      </w:r>
      <w:r w:rsidR="00740BC4">
        <w:rPr>
          <w:rFonts w:ascii="Garamond" w:hAnsi="Garamond"/>
          <w:sz w:val="26"/>
          <w:szCs w:val="26"/>
        </w:rPr>
        <w:t>”</w:t>
      </w:r>
      <w:r>
        <w:rPr>
          <w:rStyle w:val="FootnoteReference"/>
          <w:rFonts w:ascii="Garamond" w:hAnsi="Garamond"/>
          <w:sz w:val="26"/>
          <w:szCs w:val="26"/>
        </w:rPr>
        <w:footnoteReference w:id="1"/>
      </w:r>
      <w:r>
        <w:rPr>
          <w:rFonts w:ascii="Garamond" w:hAnsi="Garamond"/>
          <w:sz w:val="26"/>
          <w:szCs w:val="26"/>
        </w:rPr>
        <w:t xml:space="preserve"> or </w:t>
      </w:r>
      <w:r w:rsidR="00740BC4">
        <w:rPr>
          <w:rFonts w:ascii="Garamond" w:hAnsi="Garamond"/>
          <w:sz w:val="26"/>
          <w:szCs w:val="26"/>
        </w:rPr>
        <w:t>“</w:t>
      </w:r>
      <w:r w:rsidR="002A5AF2">
        <w:rPr>
          <w:rFonts w:ascii="Garamond" w:hAnsi="Garamond"/>
          <w:sz w:val="26"/>
          <w:szCs w:val="26"/>
        </w:rPr>
        <w:t>The defendant</w:t>
      </w:r>
      <w:r w:rsidR="00740BC4">
        <w:rPr>
          <w:rFonts w:ascii="Garamond" w:hAnsi="Garamond"/>
          <w:sz w:val="26"/>
          <w:szCs w:val="26"/>
        </w:rPr>
        <w:t>’</w:t>
      </w:r>
      <w:r w:rsidR="002A5AF2">
        <w:rPr>
          <w:rFonts w:ascii="Garamond" w:hAnsi="Garamond"/>
          <w:sz w:val="26"/>
          <w:szCs w:val="26"/>
        </w:rPr>
        <w:t xml:space="preserve">s rap lyrics about </w:t>
      </w:r>
      <w:r w:rsidR="00740BC4">
        <w:rPr>
          <w:rFonts w:ascii="Garamond" w:hAnsi="Garamond"/>
          <w:sz w:val="26"/>
          <w:szCs w:val="26"/>
        </w:rPr>
        <w:t>‘</w:t>
      </w:r>
      <w:r w:rsidR="002A5AF2">
        <w:rPr>
          <w:rFonts w:ascii="Garamond" w:hAnsi="Garamond"/>
          <w:sz w:val="26"/>
          <w:szCs w:val="26"/>
        </w:rPr>
        <w:t>makin</w:t>
      </w:r>
      <w:r w:rsidR="00740BC4">
        <w:rPr>
          <w:rFonts w:ascii="Garamond" w:hAnsi="Garamond"/>
          <w:sz w:val="26"/>
          <w:szCs w:val="26"/>
        </w:rPr>
        <w:t>’</w:t>
      </w:r>
      <w:r w:rsidR="002A5AF2">
        <w:rPr>
          <w:rFonts w:ascii="Garamond" w:hAnsi="Garamond"/>
          <w:sz w:val="26"/>
          <w:szCs w:val="26"/>
        </w:rPr>
        <w:t xml:space="preserve"> these scrapas bleed</w:t>
      </w:r>
      <w:r w:rsidR="00740BC4">
        <w:rPr>
          <w:rFonts w:ascii="Garamond" w:hAnsi="Garamond"/>
          <w:sz w:val="26"/>
          <w:szCs w:val="26"/>
        </w:rPr>
        <w:t>’</w:t>
      </w:r>
      <w:r w:rsidR="002A5AF2">
        <w:rPr>
          <w:rFonts w:ascii="Garamond" w:hAnsi="Garamond"/>
          <w:sz w:val="26"/>
          <w:szCs w:val="26"/>
        </w:rPr>
        <w:t xml:space="preserve"> was not unduly prejudicial</w:t>
      </w:r>
      <w:r w:rsidR="00740BC4">
        <w:rPr>
          <w:rFonts w:ascii="Garamond" w:hAnsi="Garamond"/>
          <w:sz w:val="26"/>
          <w:szCs w:val="26"/>
        </w:rPr>
        <w:t>”</w:t>
      </w:r>
      <w:r w:rsidR="002A5AF2">
        <w:rPr>
          <w:rStyle w:val="FootnoteReference"/>
          <w:rFonts w:ascii="Garamond" w:hAnsi="Garamond"/>
          <w:sz w:val="26"/>
          <w:szCs w:val="26"/>
        </w:rPr>
        <w:footnoteReference w:id="2"/>
      </w:r>
      <w:r w:rsidR="00BA203B">
        <w:rPr>
          <w:rFonts w:ascii="Garamond" w:hAnsi="Garamond"/>
          <w:sz w:val="26"/>
          <w:szCs w:val="26"/>
        </w:rPr>
        <w:t xml:space="preserve"> or </w:t>
      </w:r>
      <w:r w:rsidR="00740BC4">
        <w:rPr>
          <w:rFonts w:ascii="Garamond" w:hAnsi="Garamond"/>
          <w:sz w:val="26"/>
          <w:szCs w:val="26"/>
        </w:rPr>
        <w:t>“</w:t>
      </w:r>
      <w:r w:rsidR="002A5AF2">
        <w:rPr>
          <w:rFonts w:ascii="Garamond" w:hAnsi="Garamond"/>
          <w:sz w:val="26"/>
          <w:szCs w:val="26"/>
        </w:rPr>
        <w:t>W</w:t>
      </w:r>
      <w:r>
        <w:rPr>
          <w:rFonts w:ascii="Garamond" w:hAnsi="Garamond"/>
          <w:sz w:val="26"/>
          <w:szCs w:val="26"/>
        </w:rPr>
        <w:t>e presume the jurors followed the court</w:t>
      </w:r>
      <w:r w:rsidR="00740BC4">
        <w:rPr>
          <w:rFonts w:ascii="Garamond" w:hAnsi="Garamond"/>
          <w:sz w:val="26"/>
          <w:szCs w:val="26"/>
        </w:rPr>
        <w:t>’</w:t>
      </w:r>
      <w:r>
        <w:rPr>
          <w:rFonts w:ascii="Garamond" w:hAnsi="Garamond"/>
          <w:sz w:val="26"/>
          <w:szCs w:val="26"/>
        </w:rPr>
        <w:t xml:space="preserve">s </w:t>
      </w:r>
      <w:r w:rsidR="00791899">
        <w:rPr>
          <w:rFonts w:ascii="Garamond" w:hAnsi="Garamond"/>
          <w:sz w:val="26"/>
          <w:szCs w:val="26"/>
        </w:rPr>
        <w:t xml:space="preserve">limiting instructions </w:t>
      </w:r>
      <w:r w:rsidR="00817495">
        <w:rPr>
          <w:rFonts w:ascii="Garamond" w:hAnsi="Garamond"/>
          <w:sz w:val="26"/>
          <w:szCs w:val="26"/>
        </w:rPr>
        <w:t>with respect to</w:t>
      </w:r>
      <w:r w:rsidR="002A5AF2">
        <w:rPr>
          <w:rFonts w:ascii="Garamond" w:hAnsi="Garamond"/>
          <w:sz w:val="26"/>
          <w:szCs w:val="26"/>
        </w:rPr>
        <w:t xml:space="preserve"> the [super-prejudicial] character evidence</w:t>
      </w:r>
      <w:r>
        <w:rPr>
          <w:rFonts w:ascii="Garamond" w:hAnsi="Garamond"/>
          <w:sz w:val="26"/>
          <w:szCs w:val="26"/>
        </w:rPr>
        <w:t>.</w:t>
      </w:r>
      <w:r w:rsidR="00740BC4">
        <w:rPr>
          <w:rFonts w:ascii="Garamond" w:hAnsi="Garamond"/>
          <w:sz w:val="26"/>
          <w:szCs w:val="26"/>
        </w:rPr>
        <w:t>”</w:t>
      </w:r>
      <w:r>
        <w:rPr>
          <w:rStyle w:val="FootnoteReference"/>
          <w:rFonts w:ascii="Garamond" w:hAnsi="Garamond"/>
          <w:sz w:val="26"/>
          <w:szCs w:val="26"/>
        </w:rPr>
        <w:footnoteReference w:id="3"/>
      </w:r>
      <w:r>
        <w:rPr>
          <w:rFonts w:ascii="Garamond" w:hAnsi="Garamond"/>
          <w:sz w:val="26"/>
          <w:szCs w:val="26"/>
        </w:rPr>
        <w:t xml:space="preserve"> </w:t>
      </w:r>
      <w:r w:rsidR="002A5AF2">
        <w:rPr>
          <w:rFonts w:ascii="Garamond" w:hAnsi="Garamond"/>
          <w:sz w:val="26"/>
          <w:szCs w:val="26"/>
        </w:rPr>
        <w:t xml:space="preserve">And after banging </w:t>
      </w:r>
      <w:r w:rsidR="00BA203B">
        <w:rPr>
          <w:rFonts w:ascii="Garamond" w:hAnsi="Garamond"/>
          <w:sz w:val="26"/>
          <w:szCs w:val="26"/>
        </w:rPr>
        <w:t xml:space="preserve">your head </w:t>
      </w:r>
      <w:r w:rsidR="00B05647">
        <w:rPr>
          <w:rFonts w:ascii="Garamond" w:hAnsi="Garamond"/>
          <w:sz w:val="26"/>
          <w:szCs w:val="26"/>
        </w:rPr>
        <w:t xml:space="preserve">on </w:t>
      </w:r>
      <w:r w:rsidR="002A5AF2">
        <w:rPr>
          <w:rFonts w:ascii="Garamond" w:hAnsi="Garamond"/>
          <w:sz w:val="26"/>
          <w:szCs w:val="26"/>
        </w:rPr>
        <w:t xml:space="preserve">your keyboard for a while and complaining to friends, partners, colleagues, </w:t>
      </w:r>
      <w:r w:rsidR="00791899">
        <w:rPr>
          <w:rFonts w:ascii="Garamond" w:hAnsi="Garamond"/>
          <w:sz w:val="26"/>
          <w:szCs w:val="26"/>
        </w:rPr>
        <w:t>and anyone else who would listen, you may have blurted out something like</w:t>
      </w:r>
      <w:r w:rsidR="002A5AF2">
        <w:rPr>
          <w:rFonts w:ascii="Garamond" w:hAnsi="Garamond"/>
          <w:sz w:val="26"/>
          <w:szCs w:val="26"/>
        </w:rPr>
        <w:t xml:space="preserve">, </w:t>
      </w:r>
      <w:r w:rsidR="00740BC4">
        <w:rPr>
          <w:rFonts w:ascii="Garamond" w:hAnsi="Garamond"/>
          <w:sz w:val="26"/>
          <w:szCs w:val="26"/>
        </w:rPr>
        <w:t>“</w:t>
      </w:r>
      <w:r w:rsidR="002A5AF2" w:rsidRPr="00817495">
        <w:rPr>
          <w:rFonts w:ascii="Garamond" w:hAnsi="Garamond"/>
          <w:i/>
          <w:sz w:val="26"/>
          <w:szCs w:val="26"/>
        </w:rPr>
        <w:t xml:space="preserve">Says </w:t>
      </w:r>
      <w:r w:rsidR="00791899" w:rsidRPr="00817495">
        <w:rPr>
          <w:rFonts w:ascii="Garamond" w:hAnsi="Garamond"/>
          <w:i/>
          <w:sz w:val="26"/>
          <w:szCs w:val="26"/>
        </w:rPr>
        <w:t>who?!</w:t>
      </w:r>
      <w:r w:rsidR="00740BC4">
        <w:rPr>
          <w:rFonts w:ascii="Garamond" w:hAnsi="Garamond"/>
          <w:sz w:val="26"/>
          <w:szCs w:val="26"/>
        </w:rPr>
        <w:t>”</w:t>
      </w:r>
      <w:r w:rsidR="00791899">
        <w:rPr>
          <w:rFonts w:ascii="Garamond" w:hAnsi="Garamond"/>
          <w:sz w:val="26"/>
          <w:szCs w:val="26"/>
        </w:rPr>
        <w:t xml:space="preserve"> </w:t>
      </w:r>
    </w:p>
    <w:p w14:paraId="57B840EE" w14:textId="77777777" w:rsidR="002A5AF2" w:rsidRDefault="00BA203B" w:rsidP="00C52230">
      <w:pPr>
        <w:rPr>
          <w:rFonts w:ascii="Garamond" w:hAnsi="Garamond"/>
          <w:sz w:val="26"/>
          <w:szCs w:val="26"/>
        </w:rPr>
      </w:pPr>
      <w:r>
        <w:rPr>
          <w:rFonts w:ascii="Garamond" w:hAnsi="Garamond"/>
          <w:sz w:val="26"/>
          <w:szCs w:val="26"/>
        </w:rPr>
        <w:t>Well, t</w:t>
      </w:r>
      <w:r w:rsidR="002A5AF2">
        <w:rPr>
          <w:rFonts w:ascii="Garamond" w:hAnsi="Garamond"/>
          <w:sz w:val="26"/>
          <w:szCs w:val="26"/>
        </w:rPr>
        <w:t>hat</w:t>
      </w:r>
      <w:r w:rsidR="00740BC4">
        <w:rPr>
          <w:rFonts w:ascii="Garamond" w:hAnsi="Garamond"/>
          <w:sz w:val="26"/>
          <w:szCs w:val="26"/>
        </w:rPr>
        <w:t>’</w:t>
      </w:r>
      <w:r w:rsidR="002A5AF2">
        <w:rPr>
          <w:rFonts w:ascii="Garamond" w:hAnsi="Garamond"/>
          <w:sz w:val="26"/>
          <w:szCs w:val="26"/>
        </w:rPr>
        <w:t>s what this article is about. It</w:t>
      </w:r>
      <w:r w:rsidR="00740BC4">
        <w:rPr>
          <w:rFonts w:ascii="Garamond" w:hAnsi="Garamond"/>
          <w:sz w:val="26"/>
          <w:szCs w:val="26"/>
        </w:rPr>
        <w:t>’</w:t>
      </w:r>
      <w:r w:rsidR="002A5AF2">
        <w:rPr>
          <w:rFonts w:ascii="Garamond" w:hAnsi="Garamond"/>
          <w:sz w:val="26"/>
          <w:szCs w:val="26"/>
        </w:rPr>
        <w:t xml:space="preserve">s about </w:t>
      </w:r>
      <w:r w:rsidR="004D79CC">
        <w:rPr>
          <w:rFonts w:ascii="Garamond" w:hAnsi="Garamond"/>
          <w:sz w:val="26"/>
          <w:szCs w:val="26"/>
        </w:rPr>
        <w:t>who says what</w:t>
      </w:r>
      <w:r w:rsidR="00740BC4">
        <w:rPr>
          <w:rFonts w:ascii="Garamond" w:hAnsi="Garamond"/>
          <w:sz w:val="26"/>
          <w:szCs w:val="26"/>
        </w:rPr>
        <w:t>’</w:t>
      </w:r>
      <w:r w:rsidR="004D79CC">
        <w:rPr>
          <w:rFonts w:ascii="Garamond" w:hAnsi="Garamond"/>
          <w:sz w:val="26"/>
          <w:szCs w:val="26"/>
        </w:rPr>
        <w:t xml:space="preserve">s prejudicial. </w:t>
      </w:r>
      <w:r w:rsidR="004D6462">
        <w:rPr>
          <w:rFonts w:ascii="Garamond" w:hAnsi="Garamond"/>
          <w:sz w:val="26"/>
          <w:szCs w:val="26"/>
        </w:rPr>
        <w:t xml:space="preserve">Who says how jurors behave. </w:t>
      </w:r>
      <w:r w:rsidR="004D79CC">
        <w:rPr>
          <w:rFonts w:ascii="Garamond" w:hAnsi="Garamond"/>
          <w:sz w:val="26"/>
          <w:szCs w:val="26"/>
        </w:rPr>
        <w:t xml:space="preserve">Who says what reasonable people think. </w:t>
      </w:r>
      <w:r w:rsidR="00E94165">
        <w:rPr>
          <w:rFonts w:ascii="Garamond" w:hAnsi="Garamond"/>
          <w:sz w:val="26"/>
          <w:szCs w:val="26"/>
        </w:rPr>
        <w:t>I</w:t>
      </w:r>
      <w:r w:rsidR="00791899">
        <w:rPr>
          <w:rFonts w:ascii="Garamond" w:hAnsi="Garamond"/>
          <w:sz w:val="26"/>
          <w:szCs w:val="26"/>
        </w:rPr>
        <w:t>n short, i</w:t>
      </w:r>
      <w:r w:rsidR="00E94165">
        <w:rPr>
          <w:rFonts w:ascii="Garamond" w:hAnsi="Garamond"/>
          <w:sz w:val="26"/>
          <w:szCs w:val="26"/>
        </w:rPr>
        <w:t>t</w:t>
      </w:r>
      <w:r w:rsidR="00740BC4">
        <w:rPr>
          <w:rFonts w:ascii="Garamond" w:hAnsi="Garamond"/>
          <w:sz w:val="26"/>
          <w:szCs w:val="26"/>
        </w:rPr>
        <w:t>’</w:t>
      </w:r>
      <w:r w:rsidR="00E94165">
        <w:rPr>
          <w:rFonts w:ascii="Garamond" w:hAnsi="Garamond"/>
          <w:sz w:val="26"/>
          <w:szCs w:val="26"/>
        </w:rPr>
        <w:t>s about who says what</w:t>
      </w:r>
      <w:r w:rsidR="00740BC4">
        <w:rPr>
          <w:rFonts w:ascii="Garamond" w:hAnsi="Garamond"/>
          <w:sz w:val="26"/>
          <w:szCs w:val="26"/>
        </w:rPr>
        <w:t>’</w:t>
      </w:r>
      <w:r w:rsidR="00E94165">
        <w:rPr>
          <w:rFonts w:ascii="Garamond" w:hAnsi="Garamond"/>
          <w:sz w:val="26"/>
          <w:szCs w:val="26"/>
        </w:rPr>
        <w:t xml:space="preserve">s true. </w:t>
      </w:r>
      <w:r w:rsidR="004D6462">
        <w:rPr>
          <w:rFonts w:ascii="Garamond" w:hAnsi="Garamond"/>
          <w:sz w:val="26"/>
          <w:szCs w:val="26"/>
        </w:rPr>
        <w:t>Legal</w:t>
      </w:r>
      <w:r w:rsidR="004D79CC">
        <w:rPr>
          <w:rFonts w:ascii="Garamond" w:hAnsi="Garamond"/>
          <w:sz w:val="26"/>
          <w:szCs w:val="26"/>
        </w:rPr>
        <w:t xml:space="preserve"> argument is </w:t>
      </w:r>
      <w:r w:rsidR="004D6462">
        <w:rPr>
          <w:rFonts w:ascii="Garamond" w:hAnsi="Garamond"/>
          <w:sz w:val="26"/>
          <w:szCs w:val="26"/>
        </w:rPr>
        <w:t xml:space="preserve">in many ways </w:t>
      </w:r>
      <w:r w:rsidR="004D79CC">
        <w:rPr>
          <w:rFonts w:ascii="Garamond" w:hAnsi="Garamond"/>
          <w:sz w:val="26"/>
          <w:szCs w:val="26"/>
        </w:rPr>
        <w:t>merely armchair psychology. It</w:t>
      </w:r>
      <w:r w:rsidR="00740BC4">
        <w:rPr>
          <w:rFonts w:ascii="Garamond" w:hAnsi="Garamond"/>
          <w:sz w:val="26"/>
          <w:szCs w:val="26"/>
        </w:rPr>
        <w:t>’</w:t>
      </w:r>
      <w:r w:rsidR="004D79CC">
        <w:rPr>
          <w:rFonts w:ascii="Garamond" w:hAnsi="Garamond"/>
          <w:sz w:val="26"/>
          <w:szCs w:val="26"/>
        </w:rPr>
        <w:t xml:space="preserve">s </w:t>
      </w:r>
      <w:r w:rsidR="00E94165">
        <w:rPr>
          <w:rFonts w:ascii="Garamond" w:hAnsi="Garamond"/>
          <w:sz w:val="26"/>
          <w:szCs w:val="26"/>
        </w:rPr>
        <w:t xml:space="preserve">just </w:t>
      </w:r>
      <w:r w:rsidR="00791899">
        <w:rPr>
          <w:rFonts w:ascii="Garamond" w:hAnsi="Garamond"/>
          <w:sz w:val="26"/>
          <w:szCs w:val="26"/>
        </w:rPr>
        <w:t>proposition after proposition about what people think and</w:t>
      </w:r>
      <w:r w:rsidR="004D79CC">
        <w:rPr>
          <w:rFonts w:ascii="Garamond" w:hAnsi="Garamond"/>
          <w:sz w:val="26"/>
          <w:szCs w:val="26"/>
        </w:rPr>
        <w:t xml:space="preserve"> how they behave. And all too often, courts—and we as practitioners—rely just on intuition or personal beliefs </w:t>
      </w:r>
      <w:r w:rsidR="00791899">
        <w:rPr>
          <w:rFonts w:ascii="Garamond" w:hAnsi="Garamond"/>
          <w:sz w:val="26"/>
          <w:szCs w:val="26"/>
        </w:rPr>
        <w:t>to say how</w:t>
      </w:r>
      <w:r w:rsidR="004D79CC">
        <w:rPr>
          <w:rFonts w:ascii="Garamond" w:hAnsi="Garamond"/>
          <w:sz w:val="26"/>
          <w:szCs w:val="26"/>
        </w:rPr>
        <w:t xml:space="preserve"> some </w:t>
      </w:r>
      <w:r w:rsidR="00791899">
        <w:rPr>
          <w:rFonts w:ascii="Garamond" w:hAnsi="Garamond"/>
          <w:sz w:val="26"/>
          <w:szCs w:val="26"/>
        </w:rPr>
        <w:t>purportedly</w:t>
      </w:r>
      <w:r w:rsidR="004D79CC">
        <w:rPr>
          <w:rFonts w:ascii="Garamond" w:hAnsi="Garamond"/>
          <w:sz w:val="26"/>
          <w:szCs w:val="26"/>
        </w:rPr>
        <w:t xml:space="preserve"> reasonable person</w:t>
      </w:r>
      <w:r w:rsidR="00A33873">
        <w:rPr>
          <w:rFonts w:ascii="Garamond" w:hAnsi="Garamond"/>
          <w:sz w:val="26"/>
          <w:szCs w:val="26"/>
        </w:rPr>
        <w:t xml:space="preserve"> would act</w:t>
      </w:r>
      <w:r w:rsidR="004D79CC">
        <w:rPr>
          <w:rFonts w:ascii="Garamond" w:hAnsi="Garamond"/>
          <w:sz w:val="26"/>
          <w:szCs w:val="26"/>
        </w:rPr>
        <w:t xml:space="preserve"> or</w:t>
      </w:r>
      <w:r w:rsidR="00A33873">
        <w:rPr>
          <w:rFonts w:ascii="Garamond" w:hAnsi="Garamond"/>
          <w:sz w:val="26"/>
          <w:szCs w:val="26"/>
        </w:rPr>
        <w:t xml:space="preserve"> what a</w:t>
      </w:r>
      <w:r w:rsidR="004D79CC">
        <w:rPr>
          <w:rFonts w:ascii="Garamond" w:hAnsi="Garamond"/>
          <w:sz w:val="26"/>
          <w:szCs w:val="26"/>
        </w:rPr>
        <w:t xml:space="preserve"> juror of average disposition would </w:t>
      </w:r>
      <w:r w:rsidR="00A33873">
        <w:rPr>
          <w:rFonts w:ascii="Garamond" w:hAnsi="Garamond"/>
          <w:sz w:val="26"/>
          <w:szCs w:val="26"/>
        </w:rPr>
        <w:t>do</w:t>
      </w:r>
      <w:r w:rsidR="004D79CC">
        <w:rPr>
          <w:rFonts w:ascii="Garamond" w:hAnsi="Garamond"/>
          <w:sz w:val="26"/>
          <w:szCs w:val="26"/>
        </w:rPr>
        <w:t xml:space="preserve"> </w:t>
      </w:r>
      <w:r w:rsidR="00A33873">
        <w:rPr>
          <w:rFonts w:ascii="Garamond" w:hAnsi="Garamond"/>
          <w:sz w:val="26"/>
          <w:szCs w:val="26"/>
        </w:rPr>
        <w:t>in</w:t>
      </w:r>
      <w:r w:rsidR="004D79CC">
        <w:rPr>
          <w:rFonts w:ascii="Garamond" w:hAnsi="Garamond"/>
          <w:sz w:val="26"/>
          <w:szCs w:val="26"/>
        </w:rPr>
        <w:t xml:space="preserve"> a given set of circumsta</w:t>
      </w:r>
      <w:r w:rsidR="00A33873">
        <w:rPr>
          <w:rFonts w:ascii="Garamond" w:hAnsi="Garamond"/>
          <w:sz w:val="26"/>
          <w:szCs w:val="26"/>
        </w:rPr>
        <w:t xml:space="preserve">nces. </w:t>
      </w:r>
    </w:p>
    <w:p w14:paraId="529FE1AC" w14:textId="77777777" w:rsidR="002E4630" w:rsidRDefault="004D79CC" w:rsidP="00C52230">
      <w:pPr>
        <w:rPr>
          <w:rFonts w:ascii="Garamond" w:hAnsi="Garamond"/>
          <w:sz w:val="26"/>
          <w:szCs w:val="26"/>
        </w:rPr>
      </w:pPr>
      <w:r>
        <w:rPr>
          <w:rFonts w:ascii="Garamond" w:hAnsi="Garamond"/>
          <w:sz w:val="26"/>
          <w:szCs w:val="26"/>
        </w:rPr>
        <w:t xml:space="preserve">But why </w:t>
      </w:r>
      <w:r w:rsidR="00A33873">
        <w:rPr>
          <w:rFonts w:ascii="Garamond" w:hAnsi="Garamond"/>
          <w:sz w:val="26"/>
          <w:szCs w:val="26"/>
        </w:rPr>
        <w:t>would our</w:t>
      </w:r>
      <w:r>
        <w:rPr>
          <w:rFonts w:ascii="Garamond" w:hAnsi="Garamond"/>
          <w:sz w:val="26"/>
          <w:szCs w:val="26"/>
        </w:rPr>
        <w:t xml:space="preserve"> intuitions </w:t>
      </w:r>
      <w:r w:rsidR="00A33873">
        <w:rPr>
          <w:rFonts w:ascii="Garamond" w:hAnsi="Garamond"/>
          <w:sz w:val="26"/>
          <w:szCs w:val="26"/>
        </w:rPr>
        <w:t xml:space="preserve">be </w:t>
      </w:r>
      <w:r>
        <w:rPr>
          <w:rFonts w:ascii="Garamond" w:hAnsi="Garamond"/>
          <w:sz w:val="26"/>
          <w:szCs w:val="26"/>
        </w:rPr>
        <w:t xml:space="preserve">correct? </w:t>
      </w:r>
      <w:r w:rsidR="00A33873">
        <w:rPr>
          <w:rFonts w:ascii="Garamond" w:hAnsi="Garamond"/>
          <w:sz w:val="26"/>
          <w:szCs w:val="26"/>
        </w:rPr>
        <w:t>Because we went to law school</w:t>
      </w:r>
      <w:r w:rsidR="00173346">
        <w:rPr>
          <w:rFonts w:ascii="Garamond" w:hAnsi="Garamond"/>
          <w:sz w:val="26"/>
          <w:szCs w:val="26"/>
        </w:rPr>
        <w:t>?</w:t>
      </w:r>
      <w:r w:rsidR="00A33873">
        <w:rPr>
          <w:rFonts w:ascii="Garamond" w:hAnsi="Garamond"/>
          <w:sz w:val="26"/>
          <w:szCs w:val="26"/>
        </w:rPr>
        <w:t xml:space="preserve"> </w:t>
      </w:r>
      <w:r w:rsidR="00791899">
        <w:rPr>
          <w:rFonts w:ascii="Garamond" w:hAnsi="Garamond"/>
          <w:sz w:val="26"/>
          <w:szCs w:val="26"/>
        </w:rPr>
        <w:t>S</w:t>
      </w:r>
      <w:r w:rsidR="00A33873">
        <w:rPr>
          <w:rFonts w:ascii="Garamond" w:hAnsi="Garamond"/>
          <w:sz w:val="26"/>
          <w:szCs w:val="26"/>
        </w:rPr>
        <w:t>hockingly enough</w:t>
      </w:r>
      <w:r w:rsidR="00BD67A2">
        <w:rPr>
          <w:rFonts w:ascii="Garamond" w:hAnsi="Garamond"/>
          <w:sz w:val="26"/>
          <w:szCs w:val="26"/>
        </w:rPr>
        <w:t>,</w:t>
      </w:r>
      <w:r w:rsidR="00A33873">
        <w:rPr>
          <w:rFonts w:ascii="Garamond" w:hAnsi="Garamond"/>
          <w:sz w:val="26"/>
          <w:szCs w:val="26"/>
        </w:rPr>
        <w:t xml:space="preserve"> </w:t>
      </w:r>
      <w:r w:rsidR="00791899">
        <w:rPr>
          <w:rFonts w:ascii="Garamond" w:hAnsi="Garamond"/>
          <w:sz w:val="26"/>
          <w:szCs w:val="26"/>
        </w:rPr>
        <w:t>lawyers</w:t>
      </w:r>
      <w:r w:rsidR="00E736C2">
        <w:rPr>
          <w:rFonts w:ascii="Garamond" w:hAnsi="Garamond"/>
          <w:sz w:val="26"/>
          <w:szCs w:val="26"/>
        </w:rPr>
        <w:t xml:space="preserve"> and judges</w:t>
      </w:r>
      <w:r w:rsidR="00791899">
        <w:rPr>
          <w:rFonts w:ascii="Garamond" w:hAnsi="Garamond"/>
          <w:sz w:val="26"/>
          <w:szCs w:val="26"/>
        </w:rPr>
        <w:t xml:space="preserve"> </w:t>
      </w:r>
      <w:r w:rsidR="00A33873">
        <w:rPr>
          <w:rFonts w:ascii="Garamond" w:hAnsi="Garamond"/>
          <w:sz w:val="26"/>
          <w:szCs w:val="26"/>
        </w:rPr>
        <w:t xml:space="preserve">are fallible, and our intuitions are often wildly off-base. Take, for example, </w:t>
      </w:r>
      <w:r w:rsidR="002E4630">
        <w:rPr>
          <w:rFonts w:ascii="Garamond" w:hAnsi="Garamond"/>
          <w:sz w:val="26"/>
          <w:szCs w:val="26"/>
        </w:rPr>
        <w:t xml:space="preserve">the recently litigated issue in </w:t>
      </w:r>
      <w:r w:rsidR="002E4630" w:rsidRPr="002E4630">
        <w:rPr>
          <w:rFonts w:ascii="Garamond" w:hAnsi="Garamond"/>
          <w:i/>
          <w:sz w:val="26"/>
          <w:szCs w:val="26"/>
        </w:rPr>
        <w:t>People v. Lemcke</w:t>
      </w:r>
      <w:r w:rsidR="002E4630">
        <w:rPr>
          <w:rFonts w:ascii="Garamond" w:hAnsi="Garamond"/>
          <w:sz w:val="26"/>
          <w:szCs w:val="26"/>
        </w:rPr>
        <w:t xml:space="preserve"> (2021) 11 Cal.</w:t>
      </w:r>
      <w:r w:rsidR="002E4630" w:rsidRPr="002E4630">
        <w:rPr>
          <w:rFonts w:ascii="Garamond" w:hAnsi="Garamond"/>
          <w:sz w:val="26"/>
          <w:szCs w:val="26"/>
        </w:rPr>
        <w:t>5th 644</w:t>
      </w:r>
      <w:r w:rsidR="002E4630">
        <w:rPr>
          <w:rFonts w:ascii="Garamond" w:hAnsi="Garamond"/>
          <w:sz w:val="26"/>
          <w:szCs w:val="26"/>
        </w:rPr>
        <w:t>: the probative value of an eyewitness</w:t>
      </w:r>
      <w:r w:rsidR="00E736C2">
        <w:rPr>
          <w:rFonts w:ascii="Garamond" w:hAnsi="Garamond"/>
          <w:sz w:val="26"/>
          <w:szCs w:val="26"/>
        </w:rPr>
        <w:t>’s</w:t>
      </w:r>
      <w:r w:rsidR="002E4630">
        <w:rPr>
          <w:rFonts w:ascii="Garamond" w:hAnsi="Garamond"/>
          <w:sz w:val="26"/>
          <w:szCs w:val="26"/>
        </w:rPr>
        <w:t xml:space="preserve"> </w:t>
      </w:r>
      <w:r w:rsidR="00E736C2">
        <w:rPr>
          <w:rFonts w:ascii="Garamond" w:hAnsi="Garamond"/>
          <w:sz w:val="26"/>
          <w:szCs w:val="26"/>
        </w:rPr>
        <w:t>confidence statement (e.g., “I’m sure that’s the shooter.”)</w:t>
      </w:r>
      <w:r w:rsidR="002E4630">
        <w:rPr>
          <w:rFonts w:ascii="Garamond" w:hAnsi="Garamond"/>
          <w:sz w:val="26"/>
          <w:szCs w:val="26"/>
        </w:rPr>
        <w:t>. Intuitively, if someone says they are confident in their identification, then</w:t>
      </w:r>
      <w:r w:rsidR="00791899">
        <w:rPr>
          <w:rFonts w:ascii="Garamond" w:hAnsi="Garamond"/>
          <w:sz w:val="26"/>
          <w:szCs w:val="26"/>
        </w:rPr>
        <w:t xml:space="preserve"> it would make sense</w:t>
      </w:r>
      <w:r w:rsidR="00BA203B">
        <w:rPr>
          <w:rFonts w:ascii="Garamond" w:hAnsi="Garamond"/>
          <w:sz w:val="26"/>
          <w:szCs w:val="26"/>
        </w:rPr>
        <w:t xml:space="preserve"> that</w:t>
      </w:r>
      <w:r w:rsidR="002E4630">
        <w:rPr>
          <w:rFonts w:ascii="Garamond" w:hAnsi="Garamond"/>
          <w:sz w:val="26"/>
          <w:szCs w:val="26"/>
        </w:rPr>
        <w:t xml:space="preserve"> their identification is </w:t>
      </w:r>
      <w:r w:rsidR="00E736C2">
        <w:rPr>
          <w:rFonts w:ascii="Garamond" w:hAnsi="Garamond"/>
          <w:sz w:val="26"/>
          <w:szCs w:val="26"/>
        </w:rPr>
        <w:t xml:space="preserve">more likely to be </w:t>
      </w:r>
      <w:r w:rsidR="00791899">
        <w:rPr>
          <w:rFonts w:ascii="Garamond" w:hAnsi="Garamond"/>
          <w:sz w:val="26"/>
          <w:szCs w:val="26"/>
        </w:rPr>
        <w:t>accurate. But that intuition</w:t>
      </w:r>
      <w:r w:rsidR="00954A2E">
        <w:rPr>
          <w:rFonts w:ascii="Garamond" w:hAnsi="Garamond"/>
          <w:sz w:val="26"/>
          <w:szCs w:val="26"/>
        </w:rPr>
        <w:t xml:space="preserve"> is</w:t>
      </w:r>
      <w:r w:rsidR="00791899">
        <w:rPr>
          <w:rFonts w:ascii="Garamond" w:hAnsi="Garamond"/>
          <w:sz w:val="26"/>
          <w:szCs w:val="26"/>
        </w:rPr>
        <w:t xml:space="preserve"> </w:t>
      </w:r>
      <w:r w:rsidR="002E4630">
        <w:rPr>
          <w:rFonts w:ascii="Garamond" w:hAnsi="Garamond"/>
          <w:sz w:val="26"/>
          <w:szCs w:val="26"/>
        </w:rPr>
        <w:t>way off</w:t>
      </w:r>
      <w:r w:rsidR="00BA203B">
        <w:rPr>
          <w:rFonts w:ascii="Garamond" w:hAnsi="Garamond"/>
          <w:sz w:val="26"/>
          <w:szCs w:val="26"/>
        </w:rPr>
        <w:t>:</w:t>
      </w:r>
      <w:r w:rsidR="00791899">
        <w:rPr>
          <w:rFonts w:ascii="Garamond" w:hAnsi="Garamond"/>
          <w:sz w:val="26"/>
          <w:szCs w:val="26"/>
        </w:rPr>
        <w:t xml:space="preserve"> confidence statements have almost zero correlation to accuracy</w:t>
      </w:r>
      <w:r w:rsidR="002E4630">
        <w:rPr>
          <w:rFonts w:ascii="Garamond" w:hAnsi="Garamond"/>
          <w:sz w:val="26"/>
          <w:szCs w:val="26"/>
        </w:rPr>
        <w:t>. (</w:t>
      </w:r>
      <w:r w:rsidR="002E4630" w:rsidRPr="002E4630">
        <w:rPr>
          <w:rFonts w:ascii="Garamond" w:hAnsi="Garamond"/>
          <w:i/>
          <w:sz w:val="26"/>
          <w:szCs w:val="26"/>
        </w:rPr>
        <w:t>Id</w:t>
      </w:r>
      <w:r w:rsidR="002E4630">
        <w:rPr>
          <w:rFonts w:ascii="Garamond" w:hAnsi="Garamond"/>
          <w:sz w:val="26"/>
          <w:szCs w:val="26"/>
        </w:rPr>
        <w:t xml:space="preserve">. at 665.) And while we </w:t>
      </w:r>
      <w:r w:rsidR="007412B3">
        <w:rPr>
          <w:rFonts w:ascii="Garamond" w:hAnsi="Garamond"/>
          <w:sz w:val="26"/>
          <w:szCs w:val="26"/>
        </w:rPr>
        <w:t xml:space="preserve">may think ourselves better than </w:t>
      </w:r>
      <w:r w:rsidR="0069672C">
        <w:rPr>
          <w:rFonts w:ascii="Garamond" w:hAnsi="Garamond"/>
          <w:sz w:val="26"/>
          <w:szCs w:val="26"/>
        </w:rPr>
        <w:t xml:space="preserve">most people </w:t>
      </w:r>
      <w:r w:rsidR="007412B3">
        <w:rPr>
          <w:rFonts w:ascii="Garamond" w:hAnsi="Garamond"/>
          <w:sz w:val="26"/>
          <w:szCs w:val="26"/>
        </w:rPr>
        <w:t>at recognizing</w:t>
      </w:r>
      <w:r w:rsidR="002E4630">
        <w:rPr>
          <w:rFonts w:ascii="Garamond" w:hAnsi="Garamond"/>
          <w:sz w:val="26"/>
          <w:szCs w:val="26"/>
        </w:rPr>
        <w:t xml:space="preserve"> the fallibility of eyewitness testimony, </w:t>
      </w:r>
      <w:r w:rsidR="007412B3">
        <w:rPr>
          <w:rFonts w:ascii="Garamond" w:hAnsi="Garamond"/>
          <w:sz w:val="26"/>
          <w:szCs w:val="26"/>
        </w:rPr>
        <w:t xml:space="preserve">in general, </w:t>
      </w:r>
      <w:r w:rsidR="002E4630">
        <w:rPr>
          <w:rFonts w:ascii="Garamond" w:hAnsi="Garamond"/>
          <w:sz w:val="26"/>
          <w:szCs w:val="26"/>
        </w:rPr>
        <w:t>lawyers and judges are no better at evaluating eyewitness testimony than non-lawyers.</w:t>
      </w:r>
      <w:r w:rsidR="002E4630">
        <w:rPr>
          <w:rStyle w:val="FootnoteReference"/>
          <w:rFonts w:ascii="Garamond" w:hAnsi="Garamond"/>
          <w:sz w:val="26"/>
          <w:szCs w:val="26"/>
        </w:rPr>
        <w:footnoteReference w:id="4"/>
      </w:r>
      <w:r w:rsidR="002E4630">
        <w:rPr>
          <w:rFonts w:ascii="Garamond" w:hAnsi="Garamond"/>
          <w:sz w:val="26"/>
          <w:szCs w:val="26"/>
        </w:rPr>
        <w:t xml:space="preserve"> </w:t>
      </w:r>
    </w:p>
    <w:p w14:paraId="5AA15CF3" w14:textId="77777777" w:rsidR="0069672C" w:rsidRDefault="0069672C" w:rsidP="00C52230">
      <w:pPr>
        <w:rPr>
          <w:rFonts w:ascii="Garamond" w:hAnsi="Garamond"/>
          <w:sz w:val="26"/>
          <w:szCs w:val="26"/>
        </w:rPr>
      </w:pPr>
      <w:r>
        <w:rPr>
          <w:rFonts w:ascii="Garamond" w:hAnsi="Garamond"/>
          <w:sz w:val="26"/>
          <w:szCs w:val="26"/>
        </w:rPr>
        <w:lastRenderedPageBreak/>
        <w:t xml:space="preserve">The reality is </w:t>
      </w:r>
      <w:r w:rsidR="00BB717A">
        <w:rPr>
          <w:rFonts w:ascii="Garamond" w:hAnsi="Garamond"/>
          <w:sz w:val="26"/>
          <w:szCs w:val="26"/>
        </w:rPr>
        <w:t>t</w:t>
      </w:r>
      <w:r w:rsidR="00AA7EA1">
        <w:rPr>
          <w:rFonts w:ascii="Garamond" w:hAnsi="Garamond"/>
          <w:sz w:val="26"/>
          <w:szCs w:val="26"/>
        </w:rPr>
        <w:t xml:space="preserve">hat lots of arguments we make—and lots of the opinions that come out of the courts of appeal—rest on verifiable premises. Data can confirm or deny </w:t>
      </w:r>
      <w:r w:rsidR="00563C39">
        <w:rPr>
          <w:rFonts w:ascii="Garamond" w:hAnsi="Garamond"/>
          <w:sz w:val="26"/>
          <w:szCs w:val="26"/>
        </w:rPr>
        <w:t xml:space="preserve">these premises, </w:t>
      </w:r>
      <w:r w:rsidR="00CB06C7">
        <w:rPr>
          <w:rFonts w:ascii="Garamond" w:hAnsi="Garamond"/>
          <w:sz w:val="26"/>
          <w:szCs w:val="26"/>
        </w:rPr>
        <w:t>so</w:t>
      </w:r>
      <w:r w:rsidR="00563C39">
        <w:rPr>
          <w:rFonts w:ascii="Garamond" w:hAnsi="Garamond"/>
          <w:sz w:val="26"/>
          <w:szCs w:val="26"/>
        </w:rPr>
        <w:t xml:space="preserve"> what we hope to do with this article is to encourage the use of social science</w:t>
      </w:r>
      <w:r w:rsidR="00A9572B">
        <w:rPr>
          <w:rFonts w:ascii="Garamond" w:hAnsi="Garamond"/>
          <w:sz w:val="26"/>
          <w:szCs w:val="26"/>
        </w:rPr>
        <w:t xml:space="preserve"> to do just that: </w:t>
      </w:r>
      <w:r w:rsidR="00E736C2">
        <w:rPr>
          <w:rFonts w:ascii="Garamond" w:hAnsi="Garamond"/>
          <w:sz w:val="26"/>
          <w:szCs w:val="26"/>
        </w:rPr>
        <w:t>t</w:t>
      </w:r>
      <w:r w:rsidR="00A9572B">
        <w:rPr>
          <w:rFonts w:ascii="Garamond" w:hAnsi="Garamond"/>
          <w:sz w:val="26"/>
          <w:szCs w:val="26"/>
        </w:rPr>
        <w:t xml:space="preserve">o confirm or deny what the courts say everyday. And </w:t>
      </w:r>
      <w:r w:rsidR="00954A2E">
        <w:rPr>
          <w:rFonts w:ascii="Garamond" w:hAnsi="Garamond"/>
          <w:sz w:val="26"/>
          <w:szCs w:val="26"/>
        </w:rPr>
        <w:t xml:space="preserve">in so doing, </w:t>
      </w:r>
      <w:r w:rsidR="00A9572B">
        <w:rPr>
          <w:rFonts w:ascii="Garamond" w:hAnsi="Garamond"/>
          <w:sz w:val="26"/>
          <w:szCs w:val="26"/>
        </w:rPr>
        <w:t>we hope</w:t>
      </w:r>
      <w:r w:rsidR="00563C39">
        <w:rPr>
          <w:rFonts w:ascii="Garamond" w:hAnsi="Garamond"/>
          <w:sz w:val="26"/>
          <w:szCs w:val="26"/>
        </w:rPr>
        <w:t xml:space="preserve"> to highlight a few areas where the research is </w:t>
      </w:r>
      <w:r w:rsidR="00954A2E">
        <w:rPr>
          <w:rFonts w:ascii="Garamond" w:hAnsi="Garamond"/>
          <w:sz w:val="26"/>
          <w:szCs w:val="26"/>
        </w:rPr>
        <w:t xml:space="preserve">particularly </w:t>
      </w:r>
      <w:r w:rsidR="00563C39">
        <w:rPr>
          <w:rFonts w:ascii="Garamond" w:hAnsi="Garamond"/>
          <w:sz w:val="26"/>
          <w:szCs w:val="26"/>
        </w:rPr>
        <w:t>helpful for our clients</w:t>
      </w:r>
      <w:r w:rsidR="00173346">
        <w:rPr>
          <w:rFonts w:ascii="Garamond" w:hAnsi="Garamond"/>
          <w:sz w:val="26"/>
          <w:szCs w:val="26"/>
        </w:rPr>
        <w:t xml:space="preserve"> and </w:t>
      </w:r>
      <w:r w:rsidR="00954A2E">
        <w:rPr>
          <w:rFonts w:ascii="Garamond" w:hAnsi="Garamond"/>
          <w:sz w:val="26"/>
          <w:szCs w:val="26"/>
        </w:rPr>
        <w:t xml:space="preserve">where </w:t>
      </w:r>
      <w:r w:rsidR="00173346">
        <w:rPr>
          <w:rFonts w:ascii="Garamond" w:hAnsi="Garamond"/>
          <w:sz w:val="26"/>
          <w:szCs w:val="26"/>
        </w:rPr>
        <w:t>we may be able to get some good results</w:t>
      </w:r>
      <w:r w:rsidR="00563C39">
        <w:rPr>
          <w:rFonts w:ascii="Garamond" w:hAnsi="Garamond"/>
          <w:sz w:val="26"/>
          <w:szCs w:val="26"/>
        </w:rPr>
        <w:t xml:space="preserve">. </w:t>
      </w:r>
    </w:p>
    <w:p w14:paraId="7B77AB78" w14:textId="77777777" w:rsidR="007412B3" w:rsidRDefault="007412B3" w:rsidP="00C52230">
      <w:pPr>
        <w:rPr>
          <w:rFonts w:ascii="Garamond" w:hAnsi="Garamond"/>
          <w:sz w:val="26"/>
          <w:szCs w:val="26"/>
        </w:rPr>
      </w:pPr>
      <w:r>
        <w:rPr>
          <w:rFonts w:ascii="Garamond" w:hAnsi="Garamond"/>
          <w:sz w:val="26"/>
          <w:szCs w:val="26"/>
        </w:rPr>
        <w:t>In this article, we’ll cover social science as it relates to eyewitness identifications</w:t>
      </w:r>
      <w:r w:rsidR="00FB1DD0">
        <w:rPr>
          <w:rFonts w:ascii="Garamond" w:hAnsi="Garamond"/>
          <w:sz w:val="26"/>
          <w:szCs w:val="26"/>
        </w:rPr>
        <w:t>;</w:t>
      </w:r>
      <w:r>
        <w:rPr>
          <w:rFonts w:ascii="Garamond" w:hAnsi="Garamond"/>
          <w:sz w:val="26"/>
          <w:szCs w:val="26"/>
        </w:rPr>
        <w:t xml:space="preserve"> invocations under </w:t>
      </w:r>
      <w:r w:rsidR="00E736C2" w:rsidRPr="00E736C2">
        <w:rPr>
          <w:rFonts w:ascii="Garamond" w:hAnsi="Garamond"/>
          <w:i/>
          <w:sz w:val="26"/>
          <w:szCs w:val="26"/>
        </w:rPr>
        <w:t>Miranda v. Arizona</w:t>
      </w:r>
      <w:r w:rsidR="00E736C2">
        <w:rPr>
          <w:rFonts w:ascii="Garamond" w:hAnsi="Garamond"/>
          <w:sz w:val="26"/>
          <w:szCs w:val="26"/>
        </w:rPr>
        <w:t xml:space="preserve"> (1966) </w:t>
      </w:r>
      <w:r w:rsidR="00E736C2" w:rsidRPr="00E736C2">
        <w:rPr>
          <w:rFonts w:ascii="Garamond" w:hAnsi="Garamond"/>
          <w:sz w:val="26"/>
          <w:szCs w:val="26"/>
        </w:rPr>
        <w:t>384 U.S. 436</w:t>
      </w:r>
      <w:r w:rsidR="00FB1DD0">
        <w:rPr>
          <w:rFonts w:ascii="Garamond" w:hAnsi="Garamond"/>
          <w:sz w:val="26"/>
          <w:szCs w:val="26"/>
        </w:rPr>
        <w:t>;</w:t>
      </w:r>
      <w:r>
        <w:rPr>
          <w:rFonts w:ascii="Garamond" w:hAnsi="Garamond"/>
          <w:sz w:val="26"/>
          <w:szCs w:val="26"/>
        </w:rPr>
        <w:t xml:space="preserve"> false confessions</w:t>
      </w:r>
      <w:r w:rsidR="00FB1DD0">
        <w:rPr>
          <w:rFonts w:ascii="Garamond" w:hAnsi="Garamond"/>
          <w:sz w:val="26"/>
          <w:szCs w:val="26"/>
        </w:rPr>
        <w:t>;</w:t>
      </w:r>
      <w:r>
        <w:rPr>
          <w:rFonts w:ascii="Garamond" w:hAnsi="Garamond"/>
          <w:sz w:val="26"/>
          <w:szCs w:val="26"/>
        </w:rPr>
        <w:t xml:space="preserve"> racial justice</w:t>
      </w:r>
      <w:r w:rsidR="00FB1DD0">
        <w:rPr>
          <w:rFonts w:ascii="Garamond" w:hAnsi="Garamond"/>
          <w:sz w:val="26"/>
          <w:szCs w:val="26"/>
        </w:rPr>
        <w:t>;</w:t>
      </w:r>
      <w:r>
        <w:rPr>
          <w:rFonts w:ascii="Garamond" w:hAnsi="Garamond"/>
          <w:sz w:val="26"/>
          <w:szCs w:val="26"/>
        </w:rPr>
        <w:t xml:space="preserve"> brain development and youth</w:t>
      </w:r>
      <w:r w:rsidR="00FB1DD0">
        <w:rPr>
          <w:rFonts w:ascii="Garamond" w:hAnsi="Garamond"/>
          <w:sz w:val="26"/>
          <w:szCs w:val="26"/>
        </w:rPr>
        <w:t>;</w:t>
      </w:r>
      <w:r>
        <w:rPr>
          <w:rFonts w:ascii="Garamond" w:hAnsi="Garamond"/>
          <w:sz w:val="26"/>
          <w:szCs w:val="26"/>
        </w:rPr>
        <w:t xml:space="preserve"> homeless</w:t>
      </w:r>
      <w:r w:rsidR="00FB1DD0">
        <w:rPr>
          <w:rFonts w:ascii="Garamond" w:hAnsi="Garamond"/>
          <w:sz w:val="26"/>
          <w:szCs w:val="26"/>
        </w:rPr>
        <w:t>ness and self-defense;</w:t>
      </w:r>
      <w:r>
        <w:rPr>
          <w:rFonts w:ascii="Garamond" w:hAnsi="Garamond"/>
          <w:sz w:val="26"/>
          <w:szCs w:val="26"/>
        </w:rPr>
        <w:t xml:space="preserve"> police use of force</w:t>
      </w:r>
      <w:r w:rsidR="00FB1DD0">
        <w:rPr>
          <w:rFonts w:ascii="Garamond" w:hAnsi="Garamond"/>
          <w:sz w:val="26"/>
          <w:szCs w:val="26"/>
        </w:rPr>
        <w:t>;</w:t>
      </w:r>
      <w:r>
        <w:rPr>
          <w:rFonts w:ascii="Garamond" w:hAnsi="Garamond"/>
          <w:sz w:val="26"/>
          <w:szCs w:val="26"/>
        </w:rPr>
        <w:t xml:space="preserve"> </w:t>
      </w:r>
      <w:r w:rsidR="00FB1DD0">
        <w:rPr>
          <w:rFonts w:ascii="Garamond" w:hAnsi="Garamond"/>
          <w:sz w:val="26"/>
          <w:szCs w:val="26"/>
        </w:rPr>
        <w:t>and</w:t>
      </w:r>
      <w:r>
        <w:rPr>
          <w:rFonts w:ascii="Garamond" w:hAnsi="Garamond"/>
          <w:sz w:val="26"/>
          <w:szCs w:val="26"/>
        </w:rPr>
        <w:t xml:space="preserve"> dependency. But first, we’ll explain how to incorporate social science into your briefs. </w:t>
      </w:r>
    </w:p>
    <w:p w14:paraId="38FA0897" w14:textId="77777777" w:rsidR="00563C39" w:rsidRPr="00791899" w:rsidRDefault="00563C39" w:rsidP="00724C3A">
      <w:pPr>
        <w:pStyle w:val="ListParagraph"/>
        <w:numPr>
          <w:ilvl w:val="0"/>
          <w:numId w:val="1"/>
        </w:numPr>
        <w:ind w:left="720"/>
        <w:rPr>
          <w:rFonts w:ascii="Garamond" w:hAnsi="Garamond"/>
          <w:b/>
          <w:sz w:val="26"/>
          <w:szCs w:val="26"/>
        </w:rPr>
      </w:pPr>
      <w:r w:rsidRPr="00791899">
        <w:rPr>
          <w:rFonts w:ascii="Garamond" w:hAnsi="Garamond"/>
          <w:b/>
          <w:sz w:val="26"/>
          <w:szCs w:val="26"/>
        </w:rPr>
        <w:t>The basics</w:t>
      </w:r>
    </w:p>
    <w:p w14:paraId="6B285535" w14:textId="77777777" w:rsidR="00563C39" w:rsidRDefault="00563C39" w:rsidP="00C52230">
      <w:pPr>
        <w:rPr>
          <w:rFonts w:ascii="Garamond" w:hAnsi="Garamond"/>
          <w:sz w:val="26"/>
          <w:szCs w:val="26"/>
        </w:rPr>
      </w:pPr>
      <w:r>
        <w:rPr>
          <w:rFonts w:ascii="Garamond" w:hAnsi="Garamond"/>
          <w:sz w:val="26"/>
          <w:szCs w:val="26"/>
        </w:rPr>
        <w:t>Let</w:t>
      </w:r>
      <w:r w:rsidR="00740BC4">
        <w:rPr>
          <w:rFonts w:ascii="Garamond" w:hAnsi="Garamond"/>
          <w:sz w:val="26"/>
          <w:szCs w:val="26"/>
        </w:rPr>
        <w:t>’</w:t>
      </w:r>
      <w:r>
        <w:rPr>
          <w:rFonts w:ascii="Garamond" w:hAnsi="Garamond"/>
          <w:sz w:val="26"/>
          <w:szCs w:val="26"/>
        </w:rPr>
        <w:t xml:space="preserve">s start with a little history lesson. </w:t>
      </w:r>
      <w:r w:rsidR="002506C5">
        <w:rPr>
          <w:rFonts w:ascii="Garamond" w:hAnsi="Garamond"/>
          <w:sz w:val="26"/>
          <w:szCs w:val="26"/>
        </w:rPr>
        <w:t xml:space="preserve">Back in the early 20th century, Oregon capped the number of hours </w:t>
      </w:r>
      <w:r w:rsidR="00791899">
        <w:rPr>
          <w:rFonts w:ascii="Garamond" w:hAnsi="Garamond"/>
          <w:sz w:val="26"/>
          <w:szCs w:val="26"/>
        </w:rPr>
        <w:t xml:space="preserve">that </w:t>
      </w:r>
      <w:r w:rsidR="002506C5">
        <w:rPr>
          <w:rFonts w:ascii="Garamond" w:hAnsi="Garamond"/>
          <w:sz w:val="26"/>
          <w:szCs w:val="26"/>
        </w:rPr>
        <w:t xml:space="preserve">women could work </w:t>
      </w:r>
      <w:r w:rsidR="00740BC4">
        <w:rPr>
          <w:rFonts w:ascii="Garamond" w:hAnsi="Garamond"/>
          <w:sz w:val="26"/>
          <w:szCs w:val="26"/>
        </w:rPr>
        <w:t>“</w:t>
      </w:r>
      <w:r w:rsidR="002506C5" w:rsidRPr="002506C5">
        <w:rPr>
          <w:rFonts w:ascii="Garamond" w:hAnsi="Garamond"/>
          <w:sz w:val="26"/>
          <w:szCs w:val="26"/>
        </w:rPr>
        <w:t>in any mechanical establishment, or factory, or laundry</w:t>
      </w:r>
      <w:r w:rsidR="00740BC4">
        <w:rPr>
          <w:rFonts w:ascii="Garamond" w:hAnsi="Garamond"/>
          <w:sz w:val="26"/>
          <w:szCs w:val="26"/>
        </w:rPr>
        <w:t>”</w:t>
      </w:r>
      <w:r w:rsidR="002506C5">
        <w:rPr>
          <w:rFonts w:ascii="Garamond" w:hAnsi="Garamond"/>
          <w:sz w:val="26"/>
          <w:szCs w:val="26"/>
        </w:rPr>
        <w:t xml:space="preserve"> to ten hours per day. </w:t>
      </w:r>
      <w:r w:rsidR="004D6462">
        <w:rPr>
          <w:rFonts w:ascii="Garamond" w:hAnsi="Garamond"/>
          <w:sz w:val="26"/>
          <w:szCs w:val="26"/>
        </w:rPr>
        <w:t>(</w:t>
      </w:r>
      <w:r w:rsidR="00BC74E6" w:rsidRPr="00BC74E6">
        <w:rPr>
          <w:rFonts w:ascii="Garamond" w:hAnsi="Garamond"/>
          <w:i/>
          <w:sz w:val="26"/>
          <w:szCs w:val="26"/>
        </w:rPr>
        <w:t>Muller v. Oregon</w:t>
      </w:r>
      <w:r w:rsidR="00BC74E6">
        <w:rPr>
          <w:rFonts w:ascii="Garamond" w:hAnsi="Garamond"/>
          <w:sz w:val="26"/>
          <w:szCs w:val="26"/>
        </w:rPr>
        <w:t xml:space="preserve"> (1908) </w:t>
      </w:r>
      <w:r w:rsidR="00BC74E6" w:rsidRPr="00BC74E6">
        <w:rPr>
          <w:rFonts w:ascii="Garamond" w:hAnsi="Garamond"/>
          <w:sz w:val="26"/>
          <w:szCs w:val="26"/>
        </w:rPr>
        <w:t>208 U.S. 412</w:t>
      </w:r>
      <w:r w:rsidR="00BC74E6">
        <w:rPr>
          <w:rFonts w:ascii="Garamond" w:hAnsi="Garamond"/>
          <w:sz w:val="26"/>
          <w:szCs w:val="26"/>
        </w:rPr>
        <w:t xml:space="preserve">, 416-417.) </w:t>
      </w:r>
      <w:r w:rsidR="002506C5">
        <w:rPr>
          <w:rFonts w:ascii="Garamond" w:hAnsi="Garamond"/>
          <w:sz w:val="26"/>
          <w:szCs w:val="26"/>
        </w:rPr>
        <w:t xml:space="preserve">A gentleman named </w:t>
      </w:r>
      <w:r w:rsidR="00791899">
        <w:rPr>
          <w:rFonts w:ascii="Garamond" w:hAnsi="Garamond"/>
          <w:sz w:val="26"/>
          <w:szCs w:val="26"/>
        </w:rPr>
        <w:t xml:space="preserve">Curt </w:t>
      </w:r>
      <w:r w:rsidR="002506C5">
        <w:rPr>
          <w:rFonts w:ascii="Garamond" w:hAnsi="Garamond"/>
          <w:sz w:val="26"/>
          <w:szCs w:val="26"/>
        </w:rPr>
        <w:t xml:space="preserve">Muller flouted this law by requiring the female employees at his laundromat to work longer than </w:t>
      </w:r>
      <w:r w:rsidR="00791899">
        <w:rPr>
          <w:rFonts w:ascii="Garamond" w:hAnsi="Garamond"/>
          <w:sz w:val="26"/>
          <w:szCs w:val="26"/>
        </w:rPr>
        <w:t xml:space="preserve">ten hours per day (a real hero, Mr. Muller). </w:t>
      </w:r>
      <w:r w:rsidR="00BC74E6">
        <w:rPr>
          <w:rFonts w:ascii="Garamond" w:hAnsi="Garamond"/>
          <w:sz w:val="26"/>
          <w:szCs w:val="26"/>
        </w:rPr>
        <w:t>(</w:t>
      </w:r>
      <w:r w:rsidR="00BC74E6">
        <w:rPr>
          <w:rFonts w:ascii="Garamond" w:hAnsi="Garamond"/>
          <w:i/>
          <w:sz w:val="26"/>
          <w:szCs w:val="26"/>
        </w:rPr>
        <w:t>Ibid.</w:t>
      </w:r>
      <w:r w:rsidR="00BC74E6">
        <w:rPr>
          <w:rFonts w:ascii="Garamond" w:hAnsi="Garamond"/>
          <w:sz w:val="26"/>
          <w:szCs w:val="26"/>
        </w:rPr>
        <w:t xml:space="preserve">) </w:t>
      </w:r>
      <w:r w:rsidR="00791899">
        <w:rPr>
          <w:rFonts w:ascii="Garamond" w:hAnsi="Garamond"/>
          <w:sz w:val="26"/>
          <w:szCs w:val="26"/>
        </w:rPr>
        <w:t xml:space="preserve">As a result, </w:t>
      </w:r>
      <w:r w:rsidR="002506C5">
        <w:rPr>
          <w:rFonts w:ascii="Garamond" w:hAnsi="Garamond"/>
          <w:sz w:val="26"/>
          <w:szCs w:val="26"/>
        </w:rPr>
        <w:t>Mr. Muller was charged and convicted of violating the Oregon law.</w:t>
      </w:r>
      <w:r w:rsidR="002506C5">
        <w:rPr>
          <w:rStyle w:val="FootnoteReference"/>
          <w:rFonts w:ascii="Garamond" w:hAnsi="Garamond"/>
          <w:sz w:val="26"/>
          <w:szCs w:val="26"/>
        </w:rPr>
        <w:footnoteReference w:id="5"/>
      </w:r>
      <w:r w:rsidR="002506C5">
        <w:rPr>
          <w:rFonts w:ascii="Garamond" w:hAnsi="Garamond"/>
          <w:sz w:val="26"/>
          <w:szCs w:val="26"/>
        </w:rPr>
        <w:t xml:space="preserve"> </w:t>
      </w:r>
      <w:r w:rsidR="00BC74E6">
        <w:rPr>
          <w:rFonts w:ascii="Garamond" w:hAnsi="Garamond"/>
          <w:sz w:val="26"/>
          <w:szCs w:val="26"/>
        </w:rPr>
        <w:t>(</w:t>
      </w:r>
      <w:r w:rsidR="00BC74E6" w:rsidRPr="00BC74E6">
        <w:rPr>
          <w:rFonts w:ascii="Garamond" w:hAnsi="Garamond"/>
          <w:i/>
          <w:sz w:val="26"/>
          <w:szCs w:val="26"/>
        </w:rPr>
        <w:t>Ibid</w:t>
      </w:r>
      <w:r w:rsidR="00BC74E6">
        <w:rPr>
          <w:rFonts w:ascii="Garamond" w:hAnsi="Garamond"/>
          <w:sz w:val="26"/>
          <w:szCs w:val="26"/>
        </w:rPr>
        <w:t xml:space="preserve">.) </w:t>
      </w:r>
    </w:p>
    <w:p w14:paraId="0559AF9E" w14:textId="77777777" w:rsidR="002506C5" w:rsidRDefault="00791899" w:rsidP="00C52230">
      <w:pPr>
        <w:rPr>
          <w:rFonts w:ascii="Garamond" w:hAnsi="Garamond"/>
          <w:sz w:val="26"/>
          <w:szCs w:val="26"/>
        </w:rPr>
      </w:pPr>
      <w:r>
        <w:rPr>
          <w:rFonts w:ascii="Garamond" w:hAnsi="Garamond"/>
          <w:sz w:val="26"/>
          <w:szCs w:val="26"/>
        </w:rPr>
        <w:t xml:space="preserve">Well, </w:t>
      </w:r>
      <w:r w:rsidR="002506C5">
        <w:rPr>
          <w:rFonts w:ascii="Garamond" w:hAnsi="Garamond"/>
          <w:sz w:val="26"/>
          <w:szCs w:val="26"/>
        </w:rPr>
        <w:t>Mr. Muller</w:t>
      </w:r>
      <w:r w:rsidR="00173346">
        <w:rPr>
          <w:rFonts w:ascii="Garamond" w:hAnsi="Garamond"/>
          <w:sz w:val="26"/>
          <w:szCs w:val="26"/>
        </w:rPr>
        <w:t xml:space="preserve"> and his attorney</w:t>
      </w:r>
      <w:r w:rsidR="002506C5">
        <w:rPr>
          <w:rFonts w:ascii="Garamond" w:hAnsi="Garamond"/>
          <w:sz w:val="26"/>
          <w:szCs w:val="26"/>
        </w:rPr>
        <w:t xml:space="preserve"> did what any of us would have done </w:t>
      </w:r>
      <w:r w:rsidR="002506C5" w:rsidRPr="00173346">
        <w:rPr>
          <w:rFonts w:ascii="Garamond" w:hAnsi="Garamond"/>
          <w:sz w:val="26"/>
          <w:szCs w:val="26"/>
        </w:rPr>
        <w:t xml:space="preserve">had our client </w:t>
      </w:r>
      <w:r w:rsidR="00A9572B" w:rsidRPr="00173346">
        <w:rPr>
          <w:rFonts w:ascii="Garamond" w:hAnsi="Garamond"/>
          <w:sz w:val="26"/>
          <w:szCs w:val="26"/>
        </w:rPr>
        <w:t>been charged with such a thing</w:t>
      </w:r>
      <w:r w:rsidR="00A9572B">
        <w:rPr>
          <w:rFonts w:ascii="Garamond" w:hAnsi="Garamond"/>
          <w:sz w:val="26"/>
          <w:szCs w:val="26"/>
        </w:rPr>
        <w:t>. H</w:t>
      </w:r>
      <w:r w:rsidR="002506C5">
        <w:rPr>
          <w:rFonts w:ascii="Garamond" w:hAnsi="Garamond"/>
          <w:sz w:val="26"/>
          <w:szCs w:val="26"/>
        </w:rPr>
        <w:t xml:space="preserve">e challenged the constitutionality of the law. </w:t>
      </w:r>
      <w:r w:rsidR="004F1993">
        <w:rPr>
          <w:rFonts w:ascii="Garamond" w:hAnsi="Garamond"/>
          <w:sz w:val="26"/>
          <w:szCs w:val="26"/>
        </w:rPr>
        <w:t xml:space="preserve">And </w:t>
      </w:r>
      <w:r w:rsidR="00BB10F8">
        <w:rPr>
          <w:rFonts w:ascii="Garamond" w:hAnsi="Garamond"/>
          <w:sz w:val="26"/>
          <w:szCs w:val="26"/>
        </w:rPr>
        <w:t xml:space="preserve">the case went all the way to the Supreme Court, where Mr. Muller argued, </w:t>
      </w:r>
      <w:r w:rsidR="004F1993">
        <w:rPr>
          <w:rFonts w:ascii="Garamond" w:hAnsi="Garamond"/>
          <w:sz w:val="26"/>
          <w:szCs w:val="26"/>
        </w:rPr>
        <w:t xml:space="preserve">under </w:t>
      </w:r>
      <w:r w:rsidR="004F1993" w:rsidRPr="004F1993">
        <w:rPr>
          <w:rFonts w:ascii="Garamond" w:hAnsi="Garamond"/>
          <w:i/>
          <w:sz w:val="26"/>
          <w:szCs w:val="26"/>
        </w:rPr>
        <w:t>Lochner v. New York</w:t>
      </w:r>
      <w:r w:rsidR="004F1993">
        <w:rPr>
          <w:rFonts w:ascii="Garamond" w:hAnsi="Garamond"/>
          <w:sz w:val="26"/>
          <w:szCs w:val="26"/>
        </w:rPr>
        <w:t xml:space="preserve"> (1905)</w:t>
      </w:r>
      <w:r w:rsidR="004F1993" w:rsidRPr="004F1993">
        <w:rPr>
          <w:rFonts w:ascii="Garamond" w:hAnsi="Garamond"/>
          <w:sz w:val="26"/>
          <w:szCs w:val="26"/>
        </w:rPr>
        <w:t xml:space="preserve"> 198 U.S. 45</w:t>
      </w:r>
      <w:r w:rsidR="004F1993">
        <w:rPr>
          <w:rFonts w:ascii="Garamond" w:hAnsi="Garamond"/>
          <w:sz w:val="26"/>
          <w:szCs w:val="26"/>
        </w:rPr>
        <w:t>,</w:t>
      </w:r>
      <w:r w:rsidR="00BB10F8">
        <w:rPr>
          <w:rFonts w:ascii="Garamond" w:hAnsi="Garamond"/>
          <w:sz w:val="26"/>
          <w:szCs w:val="26"/>
        </w:rPr>
        <w:t xml:space="preserve"> that</w:t>
      </w:r>
      <w:r w:rsidR="004F1993">
        <w:rPr>
          <w:rFonts w:ascii="Garamond" w:hAnsi="Garamond"/>
          <w:sz w:val="26"/>
          <w:szCs w:val="26"/>
        </w:rPr>
        <w:t xml:space="preserve"> </w:t>
      </w:r>
      <w:r w:rsidR="004F1993" w:rsidRPr="00817495">
        <w:rPr>
          <w:rFonts w:ascii="Garamond" w:hAnsi="Garamond"/>
          <w:i/>
          <w:sz w:val="26"/>
          <w:szCs w:val="26"/>
        </w:rPr>
        <w:t>no one</w:t>
      </w:r>
      <w:r w:rsidR="004F1993">
        <w:rPr>
          <w:rFonts w:ascii="Garamond" w:hAnsi="Garamond"/>
          <w:sz w:val="26"/>
          <w:szCs w:val="26"/>
        </w:rPr>
        <w:t xml:space="preserve"> can tell anyone else how</w:t>
      </w:r>
      <w:r w:rsidR="00173346">
        <w:rPr>
          <w:rFonts w:ascii="Garamond" w:hAnsi="Garamond"/>
          <w:sz w:val="26"/>
          <w:szCs w:val="26"/>
        </w:rPr>
        <w:t xml:space="preserve"> many hours a day they can work</w:t>
      </w:r>
      <w:r w:rsidR="00817495">
        <w:rPr>
          <w:rFonts w:ascii="Garamond" w:hAnsi="Garamond"/>
          <w:sz w:val="26"/>
          <w:szCs w:val="26"/>
        </w:rPr>
        <w:t xml:space="preserve">. </w:t>
      </w:r>
      <w:r w:rsidR="00BC74E6">
        <w:rPr>
          <w:rFonts w:ascii="Garamond" w:hAnsi="Garamond"/>
          <w:sz w:val="26"/>
          <w:szCs w:val="26"/>
        </w:rPr>
        <w:t>(</w:t>
      </w:r>
      <w:r w:rsidR="00BC74E6" w:rsidRPr="00675F53">
        <w:rPr>
          <w:rFonts w:ascii="Garamond" w:hAnsi="Garamond"/>
          <w:i/>
          <w:sz w:val="26"/>
          <w:szCs w:val="26"/>
        </w:rPr>
        <w:t>Muller</w:t>
      </w:r>
      <w:r w:rsidR="00BC74E6">
        <w:rPr>
          <w:rFonts w:ascii="Garamond" w:hAnsi="Garamond"/>
          <w:sz w:val="26"/>
          <w:szCs w:val="26"/>
        </w:rPr>
        <w:t xml:space="preserve">, </w:t>
      </w:r>
      <w:r w:rsidR="00BC74E6" w:rsidRPr="00675F53">
        <w:rPr>
          <w:rFonts w:ascii="Garamond" w:hAnsi="Garamond"/>
          <w:i/>
          <w:sz w:val="26"/>
          <w:szCs w:val="26"/>
        </w:rPr>
        <w:t>supra</w:t>
      </w:r>
      <w:r w:rsidR="00BC74E6">
        <w:rPr>
          <w:rFonts w:ascii="Garamond" w:hAnsi="Garamond"/>
          <w:sz w:val="26"/>
          <w:szCs w:val="26"/>
        </w:rPr>
        <w:t>, 208 U.S. at pp. 418-419.)</w:t>
      </w:r>
    </w:p>
    <w:p w14:paraId="5CB30076" w14:textId="77777777" w:rsidR="00D70285" w:rsidRDefault="004F1993" w:rsidP="00C52230">
      <w:pPr>
        <w:rPr>
          <w:rFonts w:ascii="Garamond" w:hAnsi="Garamond"/>
          <w:sz w:val="26"/>
          <w:szCs w:val="26"/>
        </w:rPr>
      </w:pPr>
      <w:r>
        <w:rPr>
          <w:rFonts w:ascii="Garamond" w:hAnsi="Garamond"/>
          <w:sz w:val="26"/>
          <w:szCs w:val="26"/>
        </w:rPr>
        <w:t>On the other side of the iss</w:t>
      </w:r>
      <w:r w:rsidR="00791899">
        <w:rPr>
          <w:rFonts w:ascii="Garamond" w:hAnsi="Garamond"/>
          <w:sz w:val="26"/>
          <w:szCs w:val="26"/>
        </w:rPr>
        <w:t>ue was Louis Brandeis</w:t>
      </w:r>
      <w:r w:rsidR="00BB10F8">
        <w:rPr>
          <w:rFonts w:ascii="Garamond" w:hAnsi="Garamond"/>
          <w:sz w:val="26"/>
          <w:szCs w:val="26"/>
        </w:rPr>
        <w:t>,</w:t>
      </w:r>
      <w:r w:rsidR="00791899">
        <w:rPr>
          <w:rFonts w:ascii="Garamond" w:hAnsi="Garamond"/>
          <w:sz w:val="26"/>
          <w:szCs w:val="26"/>
        </w:rPr>
        <w:t xml:space="preserve"> who </w:t>
      </w:r>
      <w:r>
        <w:rPr>
          <w:rFonts w:ascii="Garamond" w:hAnsi="Garamond"/>
          <w:sz w:val="26"/>
          <w:szCs w:val="26"/>
        </w:rPr>
        <w:t xml:space="preserve">himself </w:t>
      </w:r>
      <w:r w:rsidR="00791899">
        <w:rPr>
          <w:rFonts w:ascii="Garamond" w:hAnsi="Garamond"/>
          <w:sz w:val="26"/>
          <w:szCs w:val="26"/>
        </w:rPr>
        <w:t xml:space="preserve">would later </w:t>
      </w:r>
      <w:r>
        <w:rPr>
          <w:rFonts w:ascii="Garamond" w:hAnsi="Garamond"/>
          <w:sz w:val="26"/>
          <w:szCs w:val="26"/>
        </w:rPr>
        <w:t xml:space="preserve">join the Supreme Court. Mr. Brandeis submitted a brief in which he argued not merely that the law was constitutional based on some </w:t>
      </w:r>
      <w:r w:rsidR="00817495">
        <w:rPr>
          <w:rFonts w:ascii="Garamond" w:hAnsi="Garamond"/>
          <w:sz w:val="26"/>
          <w:szCs w:val="26"/>
        </w:rPr>
        <w:t>legal</w:t>
      </w:r>
      <w:r>
        <w:rPr>
          <w:rFonts w:ascii="Garamond" w:hAnsi="Garamond"/>
          <w:sz w:val="26"/>
          <w:szCs w:val="26"/>
        </w:rPr>
        <w:t xml:space="preserve"> principle contained in </w:t>
      </w:r>
      <w:r w:rsidR="00173346">
        <w:rPr>
          <w:rFonts w:ascii="Garamond" w:hAnsi="Garamond"/>
          <w:sz w:val="26"/>
          <w:szCs w:val="26"/>
        </w:rPr>
        <w:t>our founding documents</w:t>
      </w:r>
      <w:r>
        <w:rPr>
          <w:rFonts w:ascii="Garamond" w:hAnsi="Garamond"/>
          <w:sz w:val="26"/>
          <w:szCs w:val="26"/>
        </w:rPr>
        <w:t xml:space="preserve">. Rather, he submitted a lengthy brief containing, </w:t>
      </w:r>
      <w:r w:rsidR="00740BC4">
        <w:rPr>
          <w:rFonts w:ascii="Garamond" w:hAnsi="Garamond"/>
          <w:sz w:val="26"/>
          <w:szCs w:val="26"/>
        </w:rPr>
        <w:t>“</w:t>
      </w:r>
      <w:r w:rsidRPr="004F1993">
        <w:rPr>
          <w:rFonts w:ascii="Garamond" w:hAnsi="Garamond"/>
          <w:sz w:val="26"/>
          <w:szCs w:val="26"/>
        </w:rPr>
        <w:t xml:space="preserve">extracts from over ninety reports of committees, bureaus of statistics, commissioners of hygiene, inspectors of factories, both in this country and in Europe, </w:t>
      </w:r>
      <w:r w:rsidRPr="00BB10F8">
        <w:rPr>
          <w:rFonts w:ascii="Garamond" w:hAnsi="Garamond"/>
          <w:sz w:val="26"/>
          <w:szCs w:val="26"/>
        </w:rPr>
        <w:t>to the effect that long hours of labor are dangerous for women, primarily because of their special physical organization.</w:t>
      </w:r>
      <w:r w:rsidR="00740BC4">
        <w:rPr>
          <w:rFonts w:ascii="Garamond" w:hAnsi="Garamond"/>
          <w:sz w:val="26"/>
          <w:szCs w:val="26"/>
        </w:rPr>
        <w:t>”</w:t>
      </w:r>
      <w:r w:rsidR="00BB10F8">
        <w:rPr>
          <w:rStyle w:val="FootnoteReference"/>
          <w:rFonts w:ascii="Garamond" w:hAnsi="Garamond"/>
          <w:sz w:val="26"/>
          <w:szCs w:val="26"/>
        </w:rPr>
        <w:footnoteReference w:id="6"/>
      </w:r>
      <w:r>
        <w:rPr>
          <w:rFonts w:ascii="Garamond" w:hAnsi="Garamond"/>
          <w:sz w:val="26"/>
          <w:szCs w:val="26"/>
        </w:rPr>
        <w:t xml:space="preserve"> </w:t>
      </w:r>
      <w:r w:rsidR="00675F53">
        <w:rPr>
          <w:rFonts w:ascii="Garamond" w:hAnsi="Garamond"/>
          <w:sz w:val="26"/>
          <w:szCs w:val="26"/>
        </w:rPr>
        <w:t>(</w:t>
      </w:r>
      <w:r w:rsidR="00675F53" w:rsidRPr="00675F53">
        <w:rPr>
          <w:rFonts w:ascii="Garamond" w:hAnsi="Garamond"/>
          <w:i/>
          <w:sz w:val="26"/>
          <w:szCs w:val="26"/>
        </w:rPr>
        <w:t>Muller</w:t>
      </w:r>
      <w:r w:rsidR="00675F53">
        <w:rPr>
          <w:rFonts w:ascii="Garamond" w:hAnsi="Garamond"/>
          <w:sz w:val="26"/>
          <w:szCs w:val="26"/>
        </w:rPr>
        <w:t xml:space="preserve">, </w:t>
      </w:r>
      <w:r w:rsidR="00675F53" w:rsidRPr="00675F53">
        <w:rPr>
          <w:rFonts w:ascii="Garamond" w:hAnsi="Garamond"/>
          <w:i/>
          <w:sz w:val="26"/>
          <w:szCs w:val="26"/>
        </w:rPr>
        <w:t>supra</w:t>
      </w:r>
      <w:r w:rsidR="00675F53">
        <w:rPr>
          <w:rFonts w:ascii="Garamond" w:hAnsi="Garamond"/>
          <w:sz w:val="26"/>
          <w:szCs w:val="26"/>
        </w:rPr>
        <w:t xml:space="preserve">, 208 U.S. at p. 419, fn. 1.) </w:t>
      </w:r>
      <w:r>
        <w:rPr>
          <w:rFonts w:ascii="Garamond" w:hAnsi="Garamond"/>
          <w:sz w:val="26"/>
          <w:szCs w:val="26"/>
        </w:rPr>
        <w:t xml:space="preserve">The </w:t>
      </w:r>
      <w:r>
        <w:rPr>
          <w:rFonts w:ascii="Garamond" w:hAnsi="Garamond"/>
          <w:sz w:val="26"/>
          <w:szCs w:val="26"/>
        </w:rPr>
        <w:lastRenderedPageBreak/>
        <w:t>court cited these documents as evidence that women were different</w:t>
      </w:r>
      <w:r w:rsidR="00E16691">
        <w:rPr>
          <w:rFonts w:ascii="Garamond" w:hAnsi="Garamond"/>
          <w:sz w:val="26"/>
          <w:szCs w:val="26"/>
        </w:rPr>
        <w:t xml:space="preserve"> than men</w:t>
      </w:r>
      <w:r>
        <w:rPr>
          <w:rFonts w:ascii="Garamond" w:hAnsi="Garamond"/>
          <w:sz w:val="26"/>
          <w:szCs w:val="26"/>
        </w:rPr>
        <w:t xml:space="preserve"> and t</w:t>
      </w:r>
      <w:r w:rsidR="00791899">
        <w:rPr>
          <w:rFonts w:ascii="Garamond" w:hAnsi="Garamond"/>
          <w:sz w:val="26"/>
          <w:szCs w:val="26"/>
        </w:rPr>
        <w:t>hus t</w:t>
      </w:r>
      <w:r>
        <w:rPr>
          <w:rFonts w:ascii="Garamond" w:hAnsi="Garamond"/>
          <w:sz w:val="26"/>
          <w:szCs w:val="26"/>
        </w:rPr>
        <w:t xml:space="preserve">he legitimate </w:t>
      </w:r>
      <w:r w:rsidR="00791899">
        <w:rPr>
          <w:rFonts w:ascii="Garamond" w:hAnsi="Garamond"/>
          <w:sz w:val="26"/>
          <w:szCs w:val="26"/>
        </w:rPr>
        <w:t>subjects</w:t>
      </w:r>
      <w:r>
        <w:rPr>
          <w:rFonts w:ascii="Garamond" w:hAnsi="Garamond"/>
          <w:sz w:val="26"/>
          <w:szCs w:val="26"/>
        </w:rPr>
        <w:t xml:space="preserve"> of state regulation</w:t>
      </w:r>
      <w:r w:rsidR="004B3F41">
        <w:rPr>
          <w:rFonts w:ascii="Garamond" w:hAnsi="Garamond"/>
          <w:sz w:val="26"/>
          <w:szCs w:val="26"/>
        </w:rPr>
        <w:t>.</w:t>
      </w:r>
      <w:r w:rsidR="00BB10F8">
        <w:rPr>
          <w:rStyle w:val="FootnoteReference"/>
          <w:rFonts w:ascii="Garamond" w:hAnsi="Garamond"/>
          <w:sz w:val="26"/>
          <w:szCs w:val="26"/>
        </w:rPr>
        <w:footnoteReference w:id="7"/>
      </w:r>
      <w:r w:rsidR="00E16691">
        <w:rPr>
          <w:rFonts w:ascii="Garamond" w:hAnsi="Garamond"/>
          <w:sz w:val="26"/>
          <w:szCs w:val="26"/>
        </w:rPr>
        <w:t xml:space="preserve"> </w:t>
      </w:r>
      <w:r w:rsidR="00675F53">
        <w:rPr>
          <w:rFonts w:ascii="Garamond" w:hAnsi="Garamond"/>
          <w:sz w:val="26"/>
          <w:szCs w:val="26"/>
        </w:rPr>
        <w:t>(</w:t>
      </w:r>
      <w:r w:rsidR="00675F53" w:rsidRPr="00675F53">
        <w:rPr>
          <w:rFonts w:ascii="Garamond" w:hAnsi="Garamond"/>
          <w:i/>
          <w:sz w:val="26"/>
          <w:szCs w:val="26"/>
        </w:rPr>
        <w:t>Ibid</w:t>
      </w:r>
      <w:r w:rsidR="00675F53">
        <w:rPr>
          <w:rFonts w:ascii="Garamond" w:hAnsi="Garamond"/>
          <w:sz w:val="26"/>
          <w:szCs w:val="26"/>
        </w:rPr>
        <w:t>.)</w:t>
      </w:r>
    </w:p>
    <w:p w14:paraId="5A259452" w14:textId="77777777" w:rsidR="004F1993" w:rsidRDefault="00E16691" w:rsidP="00C52230">
      <w:pPr>
        <w:rPr>
          <w:rFonts w:ascii="Garamond" w:hAnsi="Garamond"/>
          <w:sz w:val="26"/>
          <w:szCs w:val="26"/>
        </w:rPr>
      </w:pPr>
      <w:r>
        <w:rPr>
          <w:rFonts w:ascii="Garamond" w:hAnsi="Garamond"/>
          <w:sz w:val="26"/>
          <w:szCs w:val="26"/>
        </w:rPr>
        <w:t xml:space="preserve">We bring this </w:t>
      </w:r>
      <w:r w:rsidR="00D70285">
        <w:rPr>
          <w:rFonts w:ascii="Garamond" w:hAnsi="Garamond"/>
          <w:sz w:val="26"/>
          <w:szCs w:val="26"/>
        </w:rPr>
        <w:t xml:space="preserve">case </w:t>
      </w:r>
      <w:r w:rsidR="00CB06C7">
        <w:rPr>
          <w:rFonts w:ascii="Garamond" w:hAnsi="Garamond"/>
          <w:sz w:val="26"/>
          <w:szCs w:val="26"/>
        </w:rPr>
        <w:t xml:space="preserve">up </w:t>
      </w:r>
      <w:r w:rsidR="007412B3">
        <w:rPr>
          <w:rFonts w:ascii="Garamond" w:hAnsi="Garamond"/>
          <w:sz w:val="26"/>
          <w:szCs w:val="26"/>
        </w:rPr>
        <w:t>not because we’re impressed with the court’s legal reasoning (we’re not</w:t>
      </w:r>
      <w:r>
        <w:rPr>
          <w:rFonts w:ascii="Garamond" w:hAnsi="Garamond"/>
          <w:sz w:val="26"/>
          <w:szCs w:val="26"/>
        </w:rPr>
        <w:t xml:space="preserve">), but because this is the origin of the so-called </w:t>
      </w:r>
      <w:r w:rsidRPr="00A9572B">
        <w:rPr>
          <w:rFonts w:ascii="Garamond" w:hAnsi="Garamond"/>
          <w:sz w:val="26"/>
          <w:szCs w:val="26"/>
        </w:rPr>
        <w:t>Brandeis</w:t>
      </w:r>
      <w:r>
        <w:rPr>
          <w:rFonts w:ascii="Garamond" w:hAnsi="Garamond"/>
          <w:sz w:val="26"/>
          <w:szCs w:val="26"/>
        </w:rPr>
        <w:t xml:space="preserve"> brief. </w:t>
      </w:r>
      <w:r w:rsidR="00D70285">
        <w:rPr>
          <w:rFonts w:ascii="Garamond" w:hAnsi="Garamond"/>
          <w:sz w:val="26"/>
          <w:szCs w:val="26"/>
        </w:rPr>
        <w:t>Louis Brandeis</w:t>
      </w:r>
      <w:r w:rsidR="00740BC4">
        <w:rPr>
          <w:rFonts w:ascii="Garamond" w:hAnsi="Garamond"/>
          <w:sz w:val="26"/>
          <w:szCs w:val="26"/>
        </w:rPr>
        <w:t>’</w:t>
      </w:r>
      <w:r w:rsidR="00D70285">
        <w:rPr>
          <w:rFonts w:ascii="Garamond" w:hAnsi="Garamond"/>
          <w:sz w:val="26"/>
          <w:szCs w:val="26"/>
        </w:rPr>
        <w:t xml:space="preserve">s brief is the most famous example of a lawyer bringing social-scientific facts into an appellate brief and getting the court to rely on those facts in issuing its decision. </w:t>
      </w:r>
      <w:r w:rsidR="00F07AC3">
        <w:rPr>
          <w:rFonts w:ascii="Garamond" w:hAnsi="Garamond"/>
          <w:sz w:val="26"/>
          <w:szCs w:val="26"/>
        </w:rPr>
        <w:t xml:space="preserve">One Court of Appeal noted almost fifty years ago that the Brandeis Brief, </w:t>
      </w:r>
      <w:r w:rsidR="00740BC4">
        <w:rPr>
          <w:rFonts w:ascii="Garamond" w:hAnsi="Garamond"/>
          <w:sz w:val="26"/>
          <w:szCs w:val="26"/>
        </w:rPr>
        <w:t>“</w:t>
      </w:r>
      <w:r w:rsidR="00F07AC3" w:rsidRPr="00F07AC3">
        <w:rPr>
          <w:rFonts w:ascii="Garamond" w:hAnsi="Garamond"/>
          <w:sz w:val="26"/>
          <w:szCs w:val="26"/>
        </w:rPr>
        <w:t>which brings social statistics into the courtroom, has become a commonplace.</w:t>
      </w:r>
      <w:r w:rsidR="00740BC4">
        <w:rPr>
          <w:rFonts w:ascii="Garamond" w:hAnsi="Garamond"/>
          <w:sz w:val="26"/>
          <w:szCs w:val="26"/>
        </w:rPr>
        <w:t>”</w:t>
      </w:r>
      <w:r w:rsidR="00F07AC3">
        <w:rPr>
          <w:rFonts w:ascii="Garamond" w:hAnsi="Garamond"/>
          <w:sz w:val="26"/>
          <w:szCs w:val="26"/>
        </w:rPr>
        <w:t xml:space="preserve"> (</w:t>
      </w:r>
      <w:r w:rsidR="00F07AC3" w:rsidRPr="00F07AC3">
        <w:rPr>
          <w:rFonts w:ascii="Garamond" w:hAnsi="Garamond"/>
          <w:i/>
          <w:sz w:val="26"/>
          <w:szCs w:val="26"/>
        </w:rPr>
        <w:t>Rivera v. Division of Industrial Welfare</w:t>
      </w:r>
      <w:r w:rsidR="00F07AC3">
        <w:rPr>
          <w:rFonts w:ascii="Garamond" w:hAnsi="Garamond"/>
          <w:sz w:val="26"/>
          <w:szCs w:val="26"/>
        </w:rPr>
        <w:t xml:space="preserve"> (1968)</w:t>
      </w:r>
      <w:r w:rsidR="00F07AC3" w:rsidRPr="00F07AC3">
        <w:rPr>
          <w:rFonts w:ascii="Garamond" w:hAnsi="Garamond"/>
          <w:sz w:val="26"/>
          <w:szCs w:val="26"/>
        </w:rPr>
        <w:t xml:space="preserve"> 265 Cal. App. 2d 576</w:t>
      </w:r>
      <w:r w:rsidR="00F07AC3">
        <w:rPr>
          <w:rFonts w:ascii="Garamond" w:hAnsi="Garamond"/>
          <w:sz w:val="26"/>
          <w:szCs w:val="26"/>
        </w:rPr>
        <w:t xml:space="preserve">, 589, fn. 20.) </w:t>
      </w:r>
    </w:p>
    <w:p w14:paraId="6EB7E561" w14:textId="77777777" w:rsidR="00F07AC3" w:rsidRDefault="00BB10F8" w:rsidP="00C52230">
      <w:pPr>
        <w:rPr>
          <w:rFonts w:ascii="Garamond" w:hAnsi="Garamond"/>
          <w:sz w:val="26"/>
          <w:szCs w:val="26"/>
        </w:rPr>
      </w:pPr>
      <w:r>
        <w:rPr>
          <w:rFonts w:ascii="Garamond" w:hAnsi="Garamond"/>
          <w:sz w:val="26"/>
          <w:szCs w:val="26"/>
        </w:rPr>
        <w:t>But i</w:t>
      </w:r>
      <w:r w:rsidR="00F07AC3">
        <w:rPr>
          <w:rFonts w:ascii="Garamond" w:hAnsi="Garamond"/>
          <w:sz w:val="26"/>
          <w:szCs w:val="26"/>
        </w:rPr>
        <w:t xml:space="preserve">s that right? Is it all that common to bring social science into the courtroom? Well, yes and no. The </w:t>
      </w:r>
      <w:r w:rsidR="00F07AC3" w:rsidRPr="00BB10F8">
        <w:rPr>
          <w:rFonts w:ascii="Garamond" w:hAnsi="Garamond"/>
          <w:i/>
          <w:sz w:val="26"/>
          <w:szCs w:val="26"/>
        </w:rPr>
        <w:t>Rivera</w:t>
      </w:r>
      <w:r w:rsidR="00F07AC3">
        <w:rPr>
          <w:rFonts w:ascii="Garamond" w:hAnsi="Garamond"/>
          <w:sz w:val="26"/>
          <w:szCs w:val="26"/>
        </w:rPr>
        <w:t xml:space="preserve"> court mentioned footnote 11 from </w:t>
      </w:r>
      <w:r w:rsidR="00F07AC3" w:rsidRPr="00F07AC3">
        <w:rPr>
          <w:rFonts w:ascii="Garamond" w:hAnsi="Garamond"/>
          <w:i/>
          <w:sz w:val="26"/>
          <w:szCs w:val="26"/>
        </w:rPr>
        <w:t>Brown v. Board of Education</w:t>
      </w:r>
      <w:r w:rsidR="00F07AC3" w:rsidRPr="00F07AC3">
        <w:rPr>
          <w:rFonts w:ascii="Garamond" w:hAnsi="Garamond"/>
          <w:sz w:val="26"/>
          <w:szCs w:val="26"/>
        </w:rPr>
        <w:t xml:space="preserve"> (1954) 347 U.S. 483, 494</w:t>
      </w:r>
      <w:r w:rsidR="00F07AC3">
        <w:rPr>
          <w:rFonts w:ascii="Garamond" w:hAnsi="Garamond"/>
          <w:sz w:val="26"/>
          <w:szCs w:val="26"/>
        </w:rPr>
        <w:t xml:space="preserve"> as just one example of courts relying </w:t>
      </w:r>
      <w:r w:rsidR="00270E09">
        <w:rPr>
          <w:rFonts w:ascii="Garamond" w:hAnsi="Garamond"/>
          <w:sz w:val="26"/>
          <w:szCs w:val="26"/>
        </w:rPr>
        <w:t xml:space="preserve">on </w:t>
      </w:r>
      <w:r>
        <w:rPr>
          <w:rFonts w:ascii="Garamond" w:hAnsi="Garamond"/>
          <w:sz w:val="26"/>
          <w:szCs w:val="26"/>
        </w:rPr>
        <w:t xml:space="preserve">social science for certain propositions. And </w:t>
      </w:r>
      <w:r w:rsidR="00817495">
        <w:rPr>
          <w:rFonts w:ascii="Garamond" w:hAnsi="Garamond"/>
          <w:sz w:val="26"/>
          <w:szCs w:val="26"/>
        </w:rPr>
        <w:t>there definitely are areas of law where defense lawyers have made real headway with social science. We</w:t>
      </w:r>
      <w:r w:rsidR="00740BC4">
        <w:rPr>
          <w:rFonts w:ascii="Garamond" w:hAnsi="Garamond"/>
          <w:sz w:val="26"/>
          <w:szCs w:val="26"/>
        </w:rPr>
        <w:t>’</w:t>
      </w:r>
      <w:r w:rsidR="00817495">
        <w:rPr>
          <w:rFonts w:ascii="Garamond" w:hAnsi="Garamond"/>
          <w:sz w:val="26"/>
          <w:szCs w:val="26"/>
        </w:rPr>
        <w:t>ll discuss those areas below</w:t>
      </w:r>
      <w:r w:rsidR="00CB06C7">
        <w:rPr>
          <w:rFonts w:ascii="Garamond" w:hAnsi="Garamond"/>
          <w:sz w:val="26"/>
          <w:szCs w:val="26"/>
        </w:rPr>
        <w:t xml:space="preserve"> and then get into some other areas where we might make further </w:t>
      </w:r>
      <w:r w:rsidR="00954A2E">
        <w:rPr>
          <w:rFonts w:ascii="Garamond" w:hAnsi="Garamond"/>
          <w:sz w:val="26"/>
          <w:szCs w:val="26"/>
        </w:rPr>
        <w:t>progress</w:t>
      </w:r>
      <w:r>
        <w:rPr>
          <w:rFonts w:ascii="Garamond" w:hAnsi="Garamond"/>
          <w:sz w:val="26"/>
          <w:szCs w:val="26"/>
        </w:rPr>
        <w:t xml:space="preserve">. But first </w:t>
      </w:r>
      <w:r w:rsidR="00817495">
        <w:rPr>
          <w:rFonts w:ascii="Garamond" w:hAnsi="Garamond"/>
          <w:sz w:val="26"/>
          <w:szCs w:val="26"/>
        </w:rPr>
        <w:t>let</w:t>
      </w:r>
      <w:r w:rsidR="00740BC4">
        <w:rPr>
          <w:rFonts w:ascii="Garamond" w:hAnsi="Garamond"/>
          <w:sz w:val="26"/>
          <w:szCs w:val="26"/>
        </w:rPr>
        <w:t>’</w:t>
      </w:r>
      <w:r w:rsidR="00817495">
        <w:rPr>
          <w:rFonts w:ascii="Garamond" w:hAnsi="Garamond"/>
          <w:sz w:val="26"/>
          <w:szCs w:val="26"/>
        </w:rPr>
        <w:t xml:space="preserve">s talk about the mechanics of </w:t>
      </w:r>
      <w:r>
        <w:rPr>
          <w:rFonts w:ascii="Garamond" w:hAnsi="Garamond"/>
          <w:sz w:val="26"/>
          <w:szCs w:val="26"/>
        </w:rPr>
        <w:t>citing social science</w:t>
      </w:r>
      <w:r w:rsidR="00CB06C7">
        <w:rPr>
          <w:rFonts w:ascii="Garamond" w:hAnsi="Garamond"/>
          <w:sz w:val="26"/>
          <w:szCs w:val="26"/>
        </w:rPr>
        <w:t xml:space="preserve"> on appeal</w:t>
      </w:r>
      <w:r>
        <w:rPr>
          <w:rFonts w:ascii="Garamond" w:hAnsi="Garamond"/>
          <w:sz w:val="26"/>
          <w:szCs w:val="26"/>
        </w:rPr>
        <w:t xml:space="preserve">. </w:t>
      </w:r>
    </w:p>
    <w:p w14:paraId="1FE7A10B" w14:textId="77777777" w:rsidR="00BB10F8" w:rsidRPr="00BA203B" w:rsidRDefault="00BB10F8" w:rsidP="00724C3A">
      <w:pPr>
        <w:pStyle w:val="ListParagraph"/>
        <w:numPr>
          <w:ilvl w:val="0"/>
          <w:numId w:val="1"/>
        </w:numPr>
        <w:ind w:left="720"/>
        <w:rPr>
          <w:rFonts w:ascii="Garamond" w:hAnsi="Garamond"/>
          <w:b/>
          <w:sz w:val="26"/>
          <w:szCs w:val="26"/>
        </w:rPr>
      </w:pPr>
      <w:r w:rsidRPr="00BA203B">
        <w:rPr>
          <w:rFonts w:ascii="Garamond" w:hAnsi="Garamond"/>
          <w:b/>
          <w:sz w:val="26"/>
          <w:szCs w:val="26"/>
        </w:rPr>
        <w:t>What you can and can</w:t>
      </w:r>
      <w:r w:rsidR="00740BC4">
        <w:rPr>
          <w:rFonts w:ascii="Garamond" w:hAnsi="Garamond"/>
          <w:b/>
          <w:sz w:val="26"/>
          <w:szCs w:val="26"/>
        </w:rPr>
        <w:t>’</w:t>
      </w:r>
      <w:r w:rsidRPr="00BA203B">
        <w:rPr>
          <w:rFonts w:ascii="Garamond" w:hAnsi="Garamond"/>
          <w:b/>
          <w:sz w:val="26"/>
          <w:szCs w:val="26"/>
        </w:rPr>
        <w:t>t do with social science</w:t>
      </w:r>
    </w:p>
    <w:p w14:paraId="1419DE91" w14:textId="77777777" w:rsidR="0016022C" w:rsidRDefault="0016022C" w:rsidP="00C52230">
      <w:pPr>
        <w:rPr>
          <w:rFonts w:ascii="Garamond" w:hAnsi="Garamond"/>
          <w:sz w:val="26"/>
          <w:szCs w:val="26"/>
        </w:rPr>
      </w:pPr>
      <w:r w:rsidRPr="0016022C">
        <w:rPr>
          <w:rFonts w:ascii="Garamond" w:hAnsi="Garamond"/>
          <w:sz w:val="26"/>
          <w:szCs w:val="26"/>
        </w:rPr>
        <w:t>“[A]n appeal reviews the correctness of a judgment as of the time of its rendition, upon a record of matters which were before the trial court for its consideration.” (</w:t>
      </w:r>
      <w:r w:rsidRPr="004459F5">
        <w:rPr>
          <w:rFonts w:ascii="Garamond" w:hAnsi="Garamond"/>
          <w:i/>
          <w:sz w:val="26"/>
          <w:szCs w:val="26"/>
        </w:rPr>
        <w:t>In re Zeth S.</w:t>
      </w:r>
      <w:r w:rsidRPr="0016022C">
        <w:rPr>
          <w:rFonts w:ascii="Garamond" w:hAnsi="Garamond"/>
          <w:sz w:val="26"/>
          <w:szCs w:val="26"/>
        </w:rPr>
        <w:t xml:space="preserve"> (2003) 31 Cal.4th 396, 405.) “It is settled that matters not presented to the trial court and hence not a proper part of the record on appeal will not be considered by an appellate court.” (</w:t>
      </w:r>
      <w:r w:rsidRPr="004459F5">
        <w:rPr>
          <w:rFonts w:ascii="Garamond" w:hAnsi="Garamond"/>
          <w:i/>
          <w:sz w:val="26"/>
          <w:szCs w:val="26"/>
        </w:rPr>
        <w:t xml:space="preserve">People v. Chi Ko Wong </w:t>
      </w:r>
      <w:r w:rsidRPr="0016022C">
        <w:rPr>
          <w:rFonts w:ascii="Garamond" w:hAnsi="Garamond"/>
          <w:sz w:val="26"/>
          <w:szCs w:val="26"/>
        </w:rPr>
        <w:t>(1976) 18 Cal.3d 698, 711.) Thus, a “defendant cannot challenge a lower court’s ruling and then ‘augment the record’ with information not presented to (or withheld from) the lower court.” (</w:t>
      </w:r>
      <w:r w:rsidRPr="004459F5">
        <w:rPr>
          <w:rFonts w:ascii="Garamond" w:hAnsi="Garamond"/>
          <w:i/>
          <w:sz w:val="26"/>
          <w:szCs w:val="26"/>
        </w:rPr>
        <w:t>People v. Brown</w:t>
      </w:r>
      <w:r w:rsidRPr="0016022C">
        <w:rPr>
          <w:rFonts w:ascii="Garamond" w:hAnsi="Garamond"/>
          <w:sz w:val="26"/>
          <w:szCs w:val="26"/>
        </w:rPr>
        <w:t xml:space="preserve"> (1993) 6 Cal.4th 322, 332.) </w:t>
      </w:r>
    </w:p>
    <w:p w14:paraId="3F7C23A9" w14:textId="5689C198" w:rsidR="0016022C" w:rsidRDefault="0016022C" w:rsidP="00C52230">
      <w:pPr>
        <w:rPr>
          <w:rFonts w:ascii="Garamond" w:hAnsi="Garamond"/>
          <w:sz w:val="26"/>
          <w:szCs w:val="26"/>
        </w:rPr>
      </w:pPr>
      <w:r w:rsidRPr="0016022C">
        <w:rPr>
          <w:rFonts w:ascii="Garamond" w:hAnsi="Garamond"/>
          <w:sz w:val="26"/>
          <w:szCs w:val="26"/>
        </w:rPr>
        <w:t xml:space="preserve">Given these principles, </w:t>
      </w:r>
      <w:r w:rsidR="00954A2E">
        <w:rPr>
          <w:rFonts w:ascii="Garamond" w:hAnsi="Garamond"/>
          <w:sz w:val="26"/>
          <w:szCs w:val="26"/>
        </w:rPr>
        <w:t>you’re probably thinking:</w:t>
      </w:r>
      <w:r w:rsidRPr="0016022C">
        <w:rPr>
          <w:rFonts w:ascii="Garamond" w:hAnsi="Garamond"/>
          <w:sz w:val="26"/>
          <w:szCs w:val="26"/>
        </w:rPr>
        <w:t xml:space="preserve"> Mr. Doyle and Ms. Stuart</w:t>
      </w:r>
      <w:r w:rsidR="007412B3">
        <w:rPr>
          <w:rFonts w:ascii="Garamond" w:hAnsi="Garamond"/>
          <w:sz w:val="26"/>
          <w:szCs w:val="26"/>
        </w:rPr>
        <w:t>,</w:t>
      </w:r>
      <w:r w:rsidRPr="0016022C">
        <w:rPr>
          <w:rFonts w:ascii="Garamond" w:hAnsi="Garamond"/>
          <w:sz w:val="26"/>
          <w:szCs w:val="26"/>
        </w:rPr>
        <w:t xml:space="preserve"> that highly persuasive social science data is not in the appellate record and was not before </w:t>
      </w:r>
      <w:r w:rsidR="00A557D3">
        <w:rPr>
          <w:rFonts w:ascii="Garamond" w:hAnsi="Garamond"/>
          <w:sz w:val="26"/>
          <w:szCs w:val="26"/>
        </w:rPr>
        <w:t>the trial court – how on earth do we mention it in our briefing? Can we</w:t>
      </w:r>
      <w:r w:rsidRPr="0016022C">
        <w:rPr>
          <w:rFonts w:ascii="Garamond" w:hAnsi="Garamond"/>
          <w:sz w:val="26"/>
          <w:szCs w:val="26"/>
        </w:rPr>
        <w:t xml:space="preserve"> just throw it in there? Have you two heard of judicial notice? </w:t>
      </w:r>
    </w:p>
    <w:p w14:paraId="1870F312" w14:textId="77777777" w:rsidR="004459F5" w:rsidRDefault="0016022C" w:rsidP="00C52230">
      <w:pPr>
        <w:rPr>
          <w:rFonts w:ascii="Garamond" w:hAnsi="Garamond" w:cs="AppleSystemUIFont"/>
          <w:sz w:val="26"/>
          <w:szCs w:val="26"/>
        </w:rPr>
      </w:pPr>
      <w:r>
        <w:rPr>
          <w:rFonts w:ascii="Garamond" w:hAnsi="Garamond" w:cs="AppleSystemUIFont"/>
          <w:sz w:val="26"/>
          <w:szCs w:val="26"/>
        </w:rPr>
        <w:t xml:space="preserve">To help answer those questions, and before you put finger to keyboard, we urge you to first consider this question: what do you want the Court of Appeal to do with the social science information? Do you want </w:t>
      </w:r>
      <w:r w:rsidR="007412B3">
        <w:rPr>
          <w:rFonts w:ascii="Garamond" w:hAnsi="Garamond" w:cs="AppleSystemUIFont"/>
          <w:sz w:val="26"/>
          <w:szCs w:val="26"/>
        </w:rPr>
        <w:t xml:space="preserve">the court </w:t>
      </w:r>
      <w:r>
        <w:rPr>
          <w:rFonts w:ascii="Garamond" w:hAnsi="Garamond" w:cs="AppleSystemUIFont"/>
          <w:sz w:val="26"/>
          <w:szCs w:val="26"/>
        </w:rPr>
        <w:t xml:space="preserve">to use the information to </w:t>
      </w:r>
      <w:r w:rsidRPr="0054342C">
        <w:rPr>
          <w:rFonts w:ascii="Garamond" w:hAnsi="Garamond" w:cs="AppleSystemUIFont"/>
          <w:b/>
          <w:bCs/>
          <w:sz w:val="26"/>
          <w:szCs w:val="26"/>
        </w:rPr>
        <w:t>enhance the persuasiveness</w:t>
      </w:r>
      <w:r>
        <w:rPr>
          <w:rFonts w:ascii="Garamond" w:hAnsi="Garamond" w:cs="AppleSystemUIFont"/>
          <w:sz w:val="26"/>
          <w:szCs w:val="26"/>
        </w:rPr>
        <w:t xml:space="preserve"> of your argument or do you want </w:t>
      </w:r>
      <w:r w:rsidR="007412B3">
        <w:rPr>
          <w:rFonts w:ascii="Garamond" w:hAnsi="Garamond" w:cs="AppleSystemUIFont"/>
          <w:sz w:val="26"/>
          <w:szCs w:val="26"/>
        </w:rPr>
        <w:t>it</w:t>
      </w:r>
      <w:r>
        <w:rPr>
          <w:rFonts w:ascii="Garamond" w:hAnsi="Garamond" w:cs="AppleSystemUIFont"/>
          <w:sz w:val="26"/>
          <w:szCs w:val="26"/>
        </w:rPr>
        <w:t xml:space="preserve"> to take the information as a </w:t>
      </w:r>
      <w:r w:rsidRPr="00954A2E">
        <w:rPr>
          <w:rFonts w:ascii="Garamond" w:hAnsi="Garamond" w:cs="AppleSystemUIFont"/>
          <w:b/>
          <w:sz w:val="26"/>
          <w:szCs w:val="26"/>
        </w:rPr>
        <w:t>supporting</w:t>
      </w:r>
      <w:r>
        <w:rPr>
          <w:rFonts w:ascii="Garamond" w:hAnsi="Garamond" w:cs="AppleSystemUIFont"/>
          <w:sz w:val="26"/>
          <w:szCs w:val="26"/>
        </w:rPr>
        <w:t xml:space="preserve"> </w:t>
      </w:r>
      <w:r w:rsidRPr="0054342C">
        <w:rPr>
          <w:rFonts w:ascii="Garamond" w:hAnsi="Garamond" w:cs="AppleSystemUIFont"/>
          <w:b/>
          <w:bCs/>
          <w:sz w:val="26"/>
          <w:szCs w:val="26"/>
        </w:rPr>
        <w:t>fact</w:t>
      </w:r>
      <w:r>
        <w:rPr>
          <w:rFonts w:ascii="Garamond" w:hAnsi="Garamond" w:cs="AppleSystemUIFont"/>
          <w:sz w:val="26"/>
          <w:szCs w:val="26"/>
        </w:rPr>
        <w:t xml:space="preserve"> to find in </w:t>
      </w:r>
      <w:r>
        <w:rPr>
          <w:rFonts w:ascii="Garamond" w:hAnsi="Garamond" w:cs="AppleSystemUIFont"/>
          <w:sz w:val="26"/>
          <w:szCs w:val="26"/>
        </w:rPr>
        <w:lastRenderedPageBreak/>
        <w:t xml:space="preserve">your client’s favor? </w:t>
      </w:r>
      <w:r w:rsidR="004459F5">
        <w:rPr>
          <w:rFonts w:ascii="Garamond" w:hAnsi="Garamond" w:cs="AppleSystemUIFont"/>
          <w:sz w:val="26"/>
          <w:szCs w:val="26"/>
        </w:rPr>
        <w:t xml:space="preserve">Because that’s roughly the difference between what you can and can’t </w:t>
      </w:r>
      <w:r w:rsidR="00954A2E">
        <w:rPr>
          <w:rFonts w:ascii="Garamond" w:hAnsi="Garamond" w:cs="AppleSystemUIFont"/>
          <w:sz w:val="26"/>
          <w:szCs w:val="26"/>
        </w:rPr>
        <w:t xml:space="preserve">use </w:t>
      </w:r>
      <w:r w:rsidR="004459F5">
        <w:rPr>
          <w:rFonts w:ascii="Garamond" w:hAnsi="Garamond" w:cs="AppleSystemUIFont"/>
          <w:sz w:val="26"/>
          <w:szCs w:val="26"/>
        </w:rPr>
        <w:t>in your brief.</w:t>
      </w:r>
      <w:r w:rsidR="007B7E39">
        <w:rPr>
          <w:rStyle w:val="FootnoteReference"/>
          <w:rFonts w:ascii="Garamond" w:hAnsi="Garamond" w:cs="AppleSystemUIFont"/>
          <w:sz w:val="26"/>
          <w:szCs w:val="26"/>
        </w:rPr>
        <w:footnoteReference w:id="8"/>
      </w:r>
      <w:r w:rsidR="004459F5">
        <w:rPr>
          <w:rFonts w:ascii="Garamond" w:hAnsi="Garamond" w:cs="AppleSystemUIFont"/>
          <w:sz w:val="26"/>
          <w:szCs w:val="26"/>
        </w:rPr>
        <w:t xml:space="preserve"> </w:t>
      </w:r>
    </w:p>
    <w:p w14:paraId="4029C9DD" w14:textId="77777777" w:rsidR="0016022C" w:rsidRPr="0016022C" w:rsidRDefault="004459F5" w:rsidP="00C52230">
      <w:pPr>
        <w:rPr>
          <w:rFonts w:ascii="Garamond" w:hAnsi="Garamond" w:cs="AppleSystemUIFont"/>
          <w:color w:val="4F81BD" w:themeColor="accent1"/>
          <w:sz w:val="26"/>
          <w:szCs w:val="26"/>
        </w:rPr>
      </w:pPr>
      <w:r>
        <w:rPr>
          <w:rFonts w:ascii="Garamond" w:hAnsi="Garamond" w:cs="AppleSystemUIFont"/>
          <w:sz w:val="26"/>
          <w:szCs w:val="26"/>
        </w:rPr>
        <w:t xml:space="preserve">For example, an argument we’ve all made before is “a reasonable person would not have felt free to </w:t>
      </w:r>
      <w:r w:rsidR="00954A2E">
        <w:rPr>
          <w:rFonts w:ascii="Garamond" w:hAnsi="Garamond" w:cs="AppleSystemUIFont"/>
          <w:sz w:val="26"/>
          <w:szCs w:val="26"/>
        </w:rPr>
        <w:t xml:space="preserve">terminate </w:t>
      </w:r>
      <w:r w:rsidR="007412B3">
        <w:rPr>
          <w:rFonts w:ascii="Garamond" w:hAnsi="Garamond" w:cs="AppleSystemUIFont"/>
          <w:sz w:val="26"/>
          <w:szCs w:val="26"/>
        </w:rPr>
        <w:t>appellant’s encounter with the police.</w:t>
      </w:r>
      <w:r>
        <w:rPr>
          <w:rFonts w:ascii="Garamond" w:hAnsi="Garamond" w:cs="AppleSystemUIFont"/>
          <w:sz w:val="26"/>
          <w:szCs w:val="26"/>
        </w:rPr>
        <w:t xml:space="preserve">” That’s a verifiable statement, or at least one subject to empirical study. And the results of those studies </w:t>
      </w:r>
      <w:r w:rsidR="00954A2E">
        <w:rPr>
          <w:rFonts w:ascii="Garamond" w:hAnsi="Garamond" w:cs="AppleSystemUIFont"/>
          <w:sz w:val="26"/>
          <w:szCs w:val="26"/>
        </w:rPr>
        <w:t xml:space="preserve">are </w:t>
      </w:r>
      <w:r>
        <w:rPr>
          <w:rFonts w:ascii="Garamond" w:hAnsi="Garamond" w:cs="AppleSystemUIFont"/>
          <w:sz w:val="26"/>
          <w:szCs w:val="26"/>
        </w:rPr>
        <w:t>not specific to your client. That is, to say “a reasonable person would not have felt free to leave” is not specific to your case. You’re only talking about people generally, not your client in particular</w:t>
      </w:r>
      <w:r w:rsidR="00954A2E">
        <w:rPr>
          <w:rFonts w:ascii="Garamond" w:hAnsi="Garamond" w:cs="AppleSystemUIFont"/>
          <w:sz w:val="26"/>
          <w:szCs w:val="26"/>
        </w:rPr>
        <w:t xml:space="preserve">. That’s fair game on appeal. If, on the other hand, </w:t>
      </w:r>
      <w:r>
        <w:rPr>
          <w:rFonts w:ascii="Garamond" w:hAnsi="Garamond" w:cs="AppleSystemUIFont"/>
          <w:sz w:val="26"/>
          <w:szCs w:val="26"/>
        </w:rPr>
        <w:t>you wanted to argue</w:t>
      </w:r>
      <w:r w:rsidR="00954A2E">
        <w:rPr>
          <w:rFonts w:ascii="Garamond" w:hAnsi="Garamond" w:cs="AppleSystemUIFont"/>
          <w:sz w:val="26"/>
          <w:szCs w:val="26"/>
        </w:rPr>
        <w:t xml:space="preserve"> </w:t>
      </w:r>
      <w:r>
        <w:rPr>
          <w:rFonts w:ascii="Garamond" w:hAnsi="Garamond" w:cs="AppleSystemUIFont"/>
          <w:sz w:val="26"/>
          <w:szCs w:val="26"/>
        </w:rPr>
        <w:t xml:space="preserve">that your client in particular had a reason to behave as he did, that would be case specific, and you would need those facts (so far as they’re relevant anyway) established in the trial court. But as is shown below, courts are very amenable to empirical research on how people in general behave, so you do not need those sorts of studies to have been introduced in the trial </w:t>
      </w:r>
      <w:r w:rsidR="007412B3">
        <w:rPr>
          <w:rFonts w:ascii="Garamond" w:hAnsi="Garamond" w:cs="AppleSystemUIFont"/>
          <w:sz w:val="26"/>
          <w:szCs w:val="26"/>
        </w:rPr>
        <w:t>record</w:t>
      </w:r>
      <w:r>
        <w:rPr>
          <w:rFonts w:ascii="Garamond" w:hAnsi="Garamond" w:cs="AppleSystemUIFont"/>
          <w:sz w:val="26"/>
          <w:szCs w:val="26"/>
        </w:rPr>
        <w:t xml:space="preserve">. </w:t>
      </w:r>
    </w:p>
    <w:p w14:paraId="1E31F256" w14:textId="77777777" w:rsidR="0016022C" w:rsidRDefault="004459F5" w:rsidP="00C52230">
      <w:pPr>
        <w:rPr>
          <w:rFonts w:ascii="Garamond" w:hAnsi="Garamond"/>
          <w:sz w:val="26"/>
          <w:szCs w:val="26"/>
        </w:rPr>
      </w:pPr>
      <w:r>
        <w:rPr>
          <w:rFonts w:ascii="Garamond" w:hAnsi="Garamond" w:cs="AppleSystemUIFont"/>
          <w:sz w:val="26"/>
          <w:szCs w:val="26"/>
        </w:rPr>
        <w:t xml:space="preserve">In this article, our focus will be on </w:t>
      </w:r>
      <w:r w:rsidR="0016022C">
        <w:rPr>
          <w:rFonts w:ascii="Garamond" w:hAnsi="Garamond" w:cs="AppleSystemUIFont"/>
          <w:sz w:val="26"/>
          <w:szCs w:val="26"/>
        </w:rPr>
        <w:t xml:space="preserve">the persuasive force of social science data. </w:t>
      </w:r>
      <w:r>
        <w:rPr>
          <w:rFonts w:ascii="Garamond" w:hAnsi="Garamond" w:cs="AppleSystemUIFont"/>
          <w:sz w:val="26"/>
          <w:szCs w:val="26"/>
        </w:rPr>
        <w:t xml:space="preserve">Sometimes the line between case-specific facts and </w:t>
      </w:r>
      <w:r w:rsidR="00954A2E">
        <w:rPr>
          <w:rFonts w:ascii="Garamond" w:hAnsi="Garamond" w:cs="AppleSystemUIFont"/>
          <w:sz w:val="26"/>
          <w:szCs w:val="26"/>
        </w:rPr>
        <w:t>general facts</w:t>
      </w:r>
      <w:r>
        <w:rPr>
          <w:rFonts w:ascii="Garamond" w:hAnsi="Garamond" w:cs="AppleSystemUIFont"/>
          <w:sz w:val="26"/>
          <w:szCs w:val="26"/>
        </w:rPr>
        <w:t xml:space="preserve"> will be blurry, and you’ll need to get</w:t>
      </w:r>
      <w:r w:rsidR="0016022C">
        <w:rPr>
          <w:rFonts w:ascii="Garamond" w:hAnsi="Garamond" w:cs="AppleSystemUIFont"/>
          <w:sz w:val="26"/>
          <w:szCs w:val="26"/>
        </w:rPr>
        <w:t xml:space="preserve"> creative in order to avoid crossing the impermissible line into relying on such data as a fact. </w:t>
      </w:r>
      <w:r w:rsidR="00E26098">
        <w:rPr>
          <w:rFonts w:ascii="Garamond" w:hAnsi="Garamond" w:cs="AppleSystemUIFont"/>
          <w:sz w:val="26"/>
          <w:szCs w:val="26"/>
        </w:rPr>
        <w:t>And in those cases, you may want to consider relying on judicial notice (though even that is tough)</w:t>
      </w:r>
      <w:r w:rsidR="0016022C">
        <w:rPr>
          <w:rFonts w:ascii="Garamond" w:hAnsi="Garamond" w:cs="AppleSystemUIFont"/>
          <w:sz w:val="26"/>
          <w:szCs w:val="26"/>
        </w:rPr>
        <w:t>.</w:t>
      </w:r>
      <w:r w:rsidR="0016022C">
        <w:rPr>
          <w:rStyle w:val="FootnoteReference"/>
          <w:rFonts w:ascii="Garamond" w:hAnsi="Garamond" w:cs="AppleSystemUIFont"/>
          <w:sz w:val="26"/>
          <w:szCs w:val="26"/>
        </w:rPr>
        <w:footnoteReference w:id="9"/>
      </w:r>
      <w:r w:rsidR="00E26098">
        <w:rPr>
          <w:rFonts w:ascii="Garamond" w:hAnsi="Garamond" w:cs="AppleSystemUIFont"/>
          <w:sz w:val="26"/>
          <w:szCs w:val="26"/>
        </w:rPr>
        <w:t xml:space="preserve"> But as a general matter, the courts are wide open to empirical research, and you should feel free to use it. </w:t>
      </w:r>
    </w:p>
    <w:p w14:paraId="7D2A98EB" w14:textId="77777777" w:rsidR="00BB10F8" w:rsidRPr="0016022C" w:rsidRDefault="00BB10F8" w:rsidP="00724C3A">
      <w:pPr>
        <w:pStyle w:val="ListParagraph"/>
        <w:numPr>
          <w:ilvl w:val="0"/>
          <w:numId w:val="1"/>
        </w:numPr>
        <w:ind w:left="720"/>
        <w:rPr>
          <w:rFonts w:ascii="Garamond" w:hAnsi="Garamond"/>
          <w:b/>
          <w:sz w:val="26"/>
          <w:szCs w:val="26"/>
        </w:rPr>
      </w:pPr>
      <w:r w:rsidRPr="0016022C">
        <w:rPr>
          <w:rFonts w:ascii="Garamond" w:hAnsi="Garamond"/>
          <w:b/>
          <w:sz w:val="26"/>
          <w:szCs w:val="26"/>
        </w:rPr>
        <w:t>Eyewitness identifications</w:t>
      </w:r>
    </w:p>
    <w:p w14:paraId="66395ABE" w14:textId="77777777" w:rsidR="00BB10F8" w:rsidRDefault="00BB10F8" w:rsidP="00C52230">
      <w:pPr>
        <w:rPr>
          <w:rFonts w:ascii="Garamond" w:hAnsi="Garamond"/>
          <w:sz w:val="26"/>
          <w:szCs w:val="26"/>
        </w:rPr>
      </w:pPr>
      <w:r>
        <w:rPr>
          <w:rFonts w:ascii="Garamond" w:hAnsi="Garamond"/>
          <w:sz w:val="26"/>
          <w:szCs w:val="26"/>
        </w:rPr>
        <w:t xml:space="preserve">The best place to start is with the one area of criminal law where the courts (and practitioners) have already found themselves amenable to </w:t>
      </w:r>
      <w:r w:rsidR="00A9572B">
        <w:rPr>
          <w:rFonts w:ascii="Garamond" w:hAnsi="Garamond"/>
          <w:sz w:val="26"/>
          <w:szCs w:val="26"/>
        </w:rPr>
        <w:t xml:space="preserve">scientific studies: eyewitness </w:t>
      </w:r>
      <w:r w:rsidR="00A9572B">
        <w:rPr>
          <w:rFonts w:ascii="Garamond" w:hAnsi="Garamond"/>
          <w:sz w:val="26"/>
          <w:szCs w:val="26"/>
        </w:rPr>
        <w:lastRenderedPageBreak/>
        <w:t>identifications.</w:t>
      </w:r>
      <w:r w:rsidR="008D4693">
        <w:rPr>
          <w:rFonts w:ascii="Garamond" w:hAnsi="Garamond"/>
          <w:sz w:val="26"/>
          <w:szCs w:val="26"/>
        </w:rPr>
        <w:t xml:space="preserve"> </w:t>
      </w:r>
      <w:r w:rsidR="00CB06C7">
        <w:rPr>
          <w:rFonts w:ascii="Garamond" w:hAnsi="Garamond"/>
          <w:sz w:val="26"/>
          <w:szCs w:val="26"/>
        </w:rPr>
        <w:t>In the 1970s, scientific research into</w:t>
      </w:r>
      <w:r w:rsidR="00A9572B">
        <w:rPr>
          <w:rFonts w:ascii="Garamond" w:hAnsi="Garamond"/>
          <w:sz w:val="26"/>
          <w:szCs w:val="26"/>
        </w:rPr>
        <w:t xml:space="preserve"> the problems with </w:t>
      </w:r>
      <w:r w:rsidR="00CB06C7">
        <w:rPr>
          <w:rFonts w:ascii="Garamond" w:hAnsi="Garamond"/>
          <w:sz w:val="26"/>
          <w:szCs w:val="26"/>
        </w:rPr>
        <w:t xml:space="preserve">eyewitness identifications </w:t>
      </w:r>
      <w:r w:rsidR="00B959B8">
        <w:rPr>
          <w:rFonts w:ascii="Garamond" w:hAnsi="Garamond"/>
          <w:sz w:val="26"/>
          <w:szCs w:val="26"/>
        </w:rPr>
        <w:t>blossomed</w:t>
      </w:r>
      <w:r w:rsidR="00CB06C7">
        <w:rPr>
          <w:rFonts w:ascii="Garamond" w:hAnsi="Garamond"/>
          <w:sz w:val="26"/>
          <w:szCs w:val="26"/>
        </w:rPr>
        <w:t xml:space="preserve">, and </w:t>
      </w:r>
      <w:r w:rsidR="00A9572B">
        <w:rPr>
          <w:rFonts w:ascii="Garamond" w:hAnsi="Garamond"/>
          <w:sz w:val="26"/>
          <w:szCs w:val="26"/>
        </w:rPr>
        <w:t xml:space="preserve">the </w:t>
      </w:r>
      <w:r w:rsidR="00CB06C7">
        <w:rPr>
          <w:rFonts w:ascii="Garamond" w:hAnsi="Garamond"/>
          <w:sz w:val="26"/>
          <w:szCs w:val="26"/>
        </w:rPr>
        <w:t xml:space="preserve">courts </w:t>
      </w:r>
      <w:r w:rsidR="0016022C">
        <w:rPr>
          <w:rFonts w:ascii="Garamond" w:hAnsi="Garamond"/>
          <w:sz w:val="26"/>
          <w:szCs w:val="26"/>
        </w:rPr>
        <w:t>noticed</w:t>
      </w:r>
      <w:r w:rsidR="00CB06C7">
        <w:rPr>
          <w:rFonts w:ascii="Garamond" w:hAnsi="Garamond"/>
          <w:sz w:val="26"/>
          <w:szCs w:val="26"/>
        </w:rPr>
        <w:t xml:space="preserve">. </w:t>
      </w:r>
      <w:r w:rsidR="008D4693">
        <w:rPr>
          <w:rFonts w:ascii="Garamond" w:hAnsi="Garamond"/>
          <w:sz w:val="26"/>
          <w:szCs w:val="26"/>
        </w:rPr>
        <w:t xml:space="preserve">In </w:t>
      </w:r>
      <w:r w:rsidR="008D4693" w:rsidRPr="008D4693">
        <w:rPr>
          <w:rFonts w:ascii="Garamond" w:hAnsi="Garamond"/>
          <w:i/>
          <w:sz w:val="26"/>
          <w:szCs w:val="26"/>
        </w:rPr>
        <w:t>People v. McDonald</w:t>
      </w:r>
      <w:r w:rsidR="008D4693" w:rsidRPr="008D4693">
        <w:rPr>
          <w:rFonts w:ascii="Garamond" w:hAnsi="Garamond"/>
          <w:sz w:val="26"/>
          <w:szCs w:val="26"/>
        </w:rPr>
        <w:t xml:space="preserve"> (1984) 37 Cal.3d 351, 369</w:t>
      </w:r>
      <w:r w:rsidR="008D4693">
        <w:rPr>
          <w:rFonts w:ascii="Garamond" w:hAnsi="Garamond"/>
          <w:sz w:val="26"/>
          <w:szCs w:val="26"/>
        </w:rPr>
        <w:t xml:space="preserve">, for instance, the Supreme Court </w:t>
      </w:r>
      <w:r w:rsidR="00CB06C7">
        <w:rPr>
          <w:rFonts w:ascii="Garamond" w:hAnsi="Garamond"/>
          <w:sz w:val="26"/>
          <w:szCs w:val="26"/>
        </w:rPr>
        <w:t>noted</w:t>
      </w:r>
      <w:r w:rsidR="001307FC">
        <w:rPr>
          <w:rFonts w:ascii="Garamond" w:hAnsi="Garamond"/>
          <w:sz w:val="26"/>
          <w:szCs w:val="26"/>
        </w:rPr>
        <w:t xml:space="preserve"> the proliferation of </w:t>
      </w:r>
      <w:r w:rsidR="00740BC4">
        <w:rPr>
          <w:rFonts w:ascii="Garamond" w:hAnsi="Garamond"/>
          <w:sz w:val="26"/>
          <w:szCs w:val="26"/>
        </w:rPr>
        <w:t>“</w:t>
      </w:r>
      <w:r w:rsidR="001307FC" w:rsidRPr="001307FC">
        <w:rPr>
          <w:rFonts w:ascii="Garamond" w:hAnsi="Garamond"/>
          <w:sz w:val="26"/>
          <w:szCs w:val="26"/>
        </w:rPr>
        <w:t>empirical studies of the psychological factors affecting eyewitness identification</w:t>
      </w:r>
      <w:r w:rsidR="001307FC">
        <w:rPr>
          <w:rFonts w:ascii="Garamond" w:hAnsi="Garamond"/>
          <w:sz w:val="26"/>
          <w:szCs w:val="26"/>
        </w:rPr>
        <w:t>.</w:t>
      </w:r>
      <w:r w:rsidR="00740BC4">
        <w:rPr>
          <w:rFonts w:ascii="Garamond" w:hAnsi="Garamond"/>
          <w:sz w:val="26"/>
          <w:szCs w:val="26"/>
        </w:rPr>
        <w:t>”</w:t>
      </w:r>
      <w:r w:rsidR="001307FC">
        <w:rPr>
          <w:rFonts w:ascii="Garamond" w:hAnsi="Garamond"/>
          <w:sz w:val="26"/>
          <w:szCs w:val="26"/>
        </w:rPr>
        <w:t xml:space="preserve"> (</w:t>
      </w:r>
      <w:r w:rsidR="001307FC" w:rsidRPr="00B959B8">
        <w:rPr>
          <w:rFonts w:ascii="Garamond" w:hAnsi="Garamond"/>
          <w:i/>
          <w:sz w:val="26"/>
          <w:szCs w:val="26"/>
        </w:rPr>
        <w:t>Id</w:t>
      </w:r>
      <w:r w:rsidR="001307FC">
        <w:rPr>
          <w:rFonts w:ascii="Garamond" w:hAnsi="Garamond"/>
          <w:sz w:val="26"/>
          <w:szCs w:val="26"/>
        </w:rPr>
        <w:t xml:space="preserve">. at p. 365.) The court </w:t>
      </w:r>
      <w:r w:rsidR="0016022C">
        <w:rPr>
          <w:rFonts w:ascii="Garamond" w:hAnsi="Garamond"/>
          <w:sz w:val="26"/>
          <w:szCs w:val="26"/>
        </w:rPr>
        <w:t>even said</w:t>
      </w:r>
      <w:r w:rsidR="00D07BF5">
        <w:rPr>
          <w:rFonts w:ascii="Garamond" w:hAnsi="Garamond"/>
          <w:sz w:val="26"/>
          <w:szCs w:val="26"/>
        </w:rPr>
        <w:t xml:space="preserve"> that</w:t>
      </w:r>
      <w:r w:rsidR="001307FC">
        <w:rPr>
          <w:rFonts w:ascii="Garamond" w:hAnsi="Garamond"/>
          <w:sz w:val="26"/>
          <w:szCs w:val="26"/>
        </w:rPr>
        <w:t xml:space="preserve"> </w:t>
      </w:r>
      <w:r w:rsidR="00D07BF5">
        <w:rPr>
          <w:rFonts w:ascii="Garamond" w:hAnsi="Garamond"/>
          <w:sz w:val="26"/>
          <w:szCs w:val="26"/>
        </w:rPr>
        <w:t xml:space="preserve">the </w:t>
      </w:r>
      <w:r w:rsidR="0016022C">
        <w:rPr>
          <w:rFonts w:ascii="Garamond" w:hAnsi="Garamond"/>
          <w:sz w:val="26"/>
          <w:szCs w:val="26"/>
        </w:rPr>
        <w:t>idea</w:t>
      </w:r>
      <w:r w:rsidR="00D07BF5">
        <w:rPr>
          <w:rFonts w:ascii="Garamond" w:hAnsi="Garamond"/>
          <w:sz w:val="26"/>
          <w:szCs w:val="26"/>
        </w:rPr>
        <w:t xml:space="preserve"> that eyewitness testimony is </w:t>
      </w:r>
      <w:r w:rsidR="0016022C">
        <w:rPr>
          <w:rFonts w:ascii="Garamond" w:hAnsi="Garamond"/>
          <w:sz w:val="26"/>
          <w:szCs w:val="26"/>
        </w:rPr>
        <w:t xml:space="preserve">unquestionably </w:t>
      </w:r>
      <w:r w:rsidR="007412B3">
        <w:rPr>
          <w:rFonts w:ascii="Garamond" w:hAnsi="Garamond"/>
          <w:sz w:val="26"/>
          <w:szCs w:val="26"/>
        </w:rPr>
        <w:t>trustworthy</w:t>
      </w:r>
      <w:r w:rsidR="00D07BF5">
        <w:rPr>
          <w:rFonts w:ascii="Garamond" w:hAnsi="Garamond"/>
          <w:sz w:val="26"/>
          <w:szCs w:val="26"/>
        </w:rPr>
        <w:t xml:space="preserve"> is </w:t>
      </w:r>
      <w:r w:rsidR="00740BC4">
        <w:rPr>
          <w:rFonts w:ascii="Garamond" w:hAnsi="Garamond"/>
          <w:sz w:val="26"/>
          <w:szCs w:val="26"/>
        </w:rPr>
        <w:t>“</w:t>
      </w:r>
      <w:r w:rsidR="00D07BF5" w:rsidRPr="00D07BF5">
        <w:rPr>
          <w:rFonts w:ascii="Garamond" w:hAnsi="Garamond"/>
          <w:sz w:val="26"/>
          <w:szCs w:val="26"/>
        </w:rPr>
        <w:t>at best, highly dubious, given the extensive empirical evidence that eyewitness id</w:t>
      </w:r>
      <w:r w:rsidR="00D07BF5">
        <w:rPr>
          <w:rFonts w:ascii="Garamond" w:hAnsi="Garamond"/>
          <w:sz w:val="26"/>
          <w:szCs w:val="26"/>
        </w:rPr>
        <w:t>entifications are not reliable.</w:t>
      </w:r>
      <w:r w:rsidR="00740BC4">
        <w:rPr>
          <w:rFonts w:ascii="Garamond" w:hAnsi="Garamond"/>
          <w:sz w:val="26"/>
          <w:szCs w:val="26"/>
        </w:rPr>
        <w:t>”</w:t>
      </w:r>
      <w:r w:rsidR="00D07BF5">
        <w:rPr>
          <w:rFonts w:ascii="Garamond" w:hAnsi="Garamond"/>
          <w:sz w:val="26"/>
          <w:szCs w:val="26"/>
        </w:rPr>
        <w:t xml:space="preserve"> (</w:t>
      </w:r>
      <w:r w:rsidR="00D07BF5" w:rsidRPr="00B959B8">
        <w:rPr>
          <w:rFonts w:ascii="Garamond" w:hAnsi="Garamond"/>
          <w:i/>
          <w:sz w:val="26"/>
          <w:szCs w:val="26"/>
        </w:rPr>
        <w:t>Ibid</w:t>
      </w:r>
      <w:r w:rsidR="00D07BF5">
        <w:rPr>
          <w:rFonts w:ascii="Garamond" w:hAnsi="Garamond"/>
          <w:sz w:val="26"/>
          <w:szCs w:val="26"/>
        </w:rPr>
        <w:t xml:space="preserve">.) </w:t>
      </w:r>
      <w:r w:rsidR="00CB06C7">
        <w:rPr>
          <w:rFonts w:ascii="Garamond" w:hAnsi="Garamond"/>
          <w:sz w:val="26"/>
          <w:szCs w:val="26"/>
        </w:rPr>
        <w:t xml:space="preserve">And </w:t>
      </w:r>
      <w:r w:rsidR="00A9572B">
        <w:rPr>
          <w:rFonts w:ascii="Garamond" w:hAnsi="Garamond"/>
          <w:sz w:val="26"/>
          <w:szCs w:val="26"/>
        </w:rPr>
        <w:t>this empirical evidence</w:t>
      </w:r>
      <w:r w:rsidR="00CB06C7">
        <w:rPr>
          <w:rFonts w:ascii="Garamond" w:hAnsi="Garamond"/>
          <w:sz w:val="26"/>
          <w:szCs w:val="26"/>
        </w:rPr>
        <w:t xml:space="preserve"> led to the court permitting expert testimony on the fallibility of eyewitness identifications.</w:t>
      </w:r>
      <w:r w:rsidR="00675F53">
        <w:rPr>
          <w:rFonts w:ascii="Garamond" w:hAnsi="Garamond"/>
          <w:sz w:val="26"/>
          <w:szCs w:val="26"/>
        </w:rPr>
        <w:t xml:space="preserve"> (</w:t>
      </w:r>
      <w:r w:rsidR="00675F53" w:rsidRPr="00675F53">
        <w:rPr>
          <w:rFonts w:ascii="Garamond" w:hAnsi="Garamond"/>
          <w:i/>
          <w:sz w:val="26"/>
          <w:szCs w:val="26"/>
        </w:rPr>
        <w:t>Id</w:t>
      </w:r>
      <w:r w:rsidR="00675F53">
        <w:rPr>
          <w:rFonts w:ascii="Garamond" w:hAnsi="Garamond"/>
          <w:sz w:val="26"/>
          <w:szCs w:val="26"/>
        </w:rPr>
        <w:t>. at p. 369.)</w:t>
      </w:r>
    </w:p>
    <w:p w14:paraId="415B101A" w14:textId="77777777" w:rsidR="00D07BF5" w:rsidRDefault="00A9572B" w:rsidP="00C52230">
      <w:pPr>
        <w:rPr>
          <w:rFonts w:ascii="Garamond" w:hAnsi="Garamond"/>
          <w:sz w:val="26"/>
          <w:szCs w:val="26"/>
        </w:rPr>
      </w:pPr>
      <w:r>
        <w:rPr>
          <w:rFonts w:ascii="Garamond" w:hAnsi="Garamond"/>
          <w:sz w:val="26"/>
          <w:szCs w:val="26"/>
        </w:rPr>
        <w:t>Since then, t</w:t>
      </w:r>
      <w:r w:rsidR="00D07BF5">
        <w:rPr>
          <w:rFonts w:ascii="Garamond" w:hAnsi="Garamond"/>
          <w:sz w:val="26"/>
          <w:szCs w:val="26"/>
        </w:rPr>
        <w:t xml:space="preserve">he </w:t>
      </w:r>
      <w:r w:rsidR="00C20EA2">
        <w:rPr>
          <w:rFonts w:ascii="Garamond" w:hAnsi="Garamond"/>
          <w:sz w:val="26"/>
          <w:szCs w:val="26"/>
        </w:rPr>
        <w:t xml:space="preserve">Court has continued to </w:t>
      </w:r>
      <w:r w:rsidR="00954A2E">
        <w:rPr>
          <w:rFonts w:ascii="Garamond" w:hAnsi="Garamond"/>
          <w:sz w:val="26"/>
          <w:szCs w:val="26"/>
        </w:rPr>
        <w:t>cite</w:t>
      </w:r>
      <w:r w:rsidR="00C20EA2">
        <w:rPr>
          <w:rFonts w:ascii="Garamond" w:hAnsi="Garamond"/>
          <w:sz w:val="26"/>
          <w:szCs w:val="26"/>
        </w:rPr>
        <w:t xml:space="preserve"> scientific studies </w:t>
      </w:r>
      <w:r>
        <w:rPr>
          <w:rFonts w:ascii="Garamond" w:hAnsi="Garamond"/>
          <w:sz w:val="26"/>
          <w:szCs w:val="26"/>
        </w:rPr>
        <w:t xml:space="preserve">in </w:t>
      </w:r>
      <w:r w:rsidR="00C20EA2">
        <w:rPr>
          <w:rFonts w:ascii="Garamond" w:hAnsi="Garamond"/>
          <w:sz w:val="26"/>
          <w:szCs w:val="26"/>
        </w:rPr>
        <w:t xml:space="preserve">eyewitness-identification cases. In </w:t>
      </w:r>
      <w:r w:rsidR="00C20EA2" w:rsidRPr="00C20EA2">
        <w:rPr>
          <w:rFonts w:ascii="Garamond" w:hAnsi="Garamond"/>
          <w:i/>
          <w:sz w:val="26"/>
          <w:szCs w:val="26"/>
        </w:rPr>
        <w:t>People v. Sánchez</w:t>
      </w:r>
      <w:r w:rsidR="00C20EA2">
        <w:rPr>
          <w:rFonts w:ascii="Garamond" w:hAnsi="Garamond"/>
          <w:sz w:val="26"/>
          <w:szCs w:val="26"/>
        </w:rPr>
        <w:t xml:space="preserve"> (2016)</w:t>
      </w:r>
      <w:r w:rsidR="00C20EA2" w:rsidRPr="00C20EA2">
        <w:rPr>
          <w:rFonts w:ascii="Garamond" w:hAnsi="Garamond"/>
          <w:sz w:val="26"/>
          <w:szCs w:val="26"/>
        </w:rPr>
        <w:t xml:space="preserve"> 63 Cal. 4th 411</w:t>
      </w:r>
      <w:r w:rsidR="00C20EA2">
        <w:rPr>
          <w:rFonts w:ascii="Garamond" w:hAnsi="Garamond"/>
          <w:sz w:val="26"/>
          <w:szCs w:val="26"/>
        </w:rPr>
        <w:t xml:space="preserve">, for instance, Justice Liu </w:t>
      </w:r>
      <w:r w:rsidR="005E6F77">
        <w:rPr>
          <w:rFonts w:ascii="Garamond" w:hAnsi="Garamond"/>
          <w:sz w:val="26"/>
          <w:szCs w:val="26"/>
        </w:rPr>
        <w:t xml:space="preserve">wrote a concurrence discussing the problems with the eyewitness-certainty instruction. </w:t>
      </w:r>
      <w:r w:rsidR="00675F53">
        <w:rPr>
          <w:rFonts w:ascii="Garamond" w:hAnsi="Garamond"/>
          <w:sz w:val="26"/>
          <w:szCs w:val="26"/>
        </w:rPr>
        <w:t>(</w:t>
      </w:r>
      <w:r w:rsidR="00675F53" w:rsidRPr="00675F53">
        <w:rPr>
          <w:rFonts w:ascii="Garamond" w:hAnsi="Garamond"/>
          <w:i/>
          <w:sz w:val="26"/>
          <w:szCs w:val="26"/>
        </w:rPr>
        <w:t>Id</w:t>
      </w:r>
      <w:r w:rsidR="00675F53">
        <w:rPr>
          <w:rFonts w:ascii="Garamond" w:hAnsi="Garamond"/>
          <w:sz w:val="26"/>
          <w:szCs w:val="26"/>
        </w:rPr>
        <w:t xml:space="preserve">. at p. 488.) </w:t>
      </w:r>
      <w:r w:rsidR="005E6F77">
        <w:rPr>
          <w:rFonts w:ascii="Garamond" w:hAnsi="Garamond"/>
          <w:sz w:val="26"/>
          <w:szCs w:val="26"/>
        </w:rPr>
        <w:t xml:space="preserve">He relied on an Oregon Supreme Court case that cited numerous scientific studies. </w:t>
      </w:r>
      <w:r w:rsidR="00675F53">
        <w:rPr>
          <w:rFonts w:ascii="Garamond" w:hAnsi="Garamond"/>
          <w:sz w:val="26"/>
          <w:szCs w:val="26"/>
        </w:rPr>
        <w:t>(</w:t>
      </w:r>
      <w:r w:rsidR="00675F53" w:rsidRPr="00675F53">
        <w:rPr>
          <w:rFonts w:ascii="Garamond" w:hAnsi="Garamond"/>
          <w:i/>
          <w:sz w:val="26"/>
          <w:szCs w:val="26"/>
        </w:rPr>
        <w:t>Id</w:t>
      </w:r>
      <w:r w:rsidR="00675F53">
        <w:rPr>
          <w:rFonts w:ascii="Garamond" w:hAnsi="Garamond"/>
          <w:sz w:val="26"/>
          <w:szCs w:val="26"/>
        </w:rPr>
        <w:t xml:space="preserve">. at p. 496.) </w:t>
      </w:r>
      <w:r>
        <w:rPr>
          <w:rFonts w:ascii="Garamond" w:hAnsi="Garamond"/>
          <w:sz w:val="26"/>
          <w:szCs w:val="26"/>
        </w:rPr>
        <w:t>These studies established that</w:t>
      </w:r>
      <w:r w:rsidR="005E6F77">
        <w:rPr>
          <w:rFonts w:ascii="Garamond" w:hAnsi="Garamond"/>
          <w:sz w:val="26"/>
          <w:szCs w:val="26"/>
        </w:rPr>
        <w:t>:</w:t>
      </w:r>
    </w:p>
    <w:p w14:paraId="5D85908E" w14:textId="77777777" w:rsidR="005E6F77" w:rsidRDefault="00A9572B" w:rsidP="00724C3A">
      <w:pPr>
        <w:pStyle w:val="ListParagraph"/>
        <w:numPr>
          <w:ilvl w:val="0"/>
          <w:numId w:val="2"/>
        </w:numPr>
        <w:ind w:left="720"/>
        <w:rPr>
          <w:rFonts w:ascii="Garamond" w:hAnsi="Garamond"/>
          <w:sz w:val="26"/>
          <w:szCs w:val="26"/>
        </w:rPr>
      </w:pPr>
      <w:r>
        <w:rPr>
          <w:rFonts w:ascii="Garamond" w:hAnsi="Garamond"/>
          <w:sz w:val="26"/>
          <w:szCs w:val="26"/>
        </w:rPr>
        <w:t>E</w:t>
      </w:r>
      <w:r w:rsidR="005E6F77" w:rsidRPr="005E6F77">
        <w:rPr>
          <w:rFonts w:ascii="Garamond" w:hAnsi="Garamond"/>
          <w:sz w:val="26"/>
          <w:szCs w:val="26"/>
        </w:rPr>
        <w:t>yewitness confidence is the single most influential factor in juror determinations regarding the accuracy of an eyewitness identification.</w:t>
      </w:r>
      <w:r w:rsidR="005E6F77">
        <w:rPr>
          <w:rStyle w:val="FootnoteReference"/>
          <w:rFonts w:ascii="Garamond" w:hAnsi="Garamond"/>
          <w:sz w:val="26"/>
          <w:szCs w:val="26"/>
        </w:rPr>
        <w:footnoteReference w:id="10"/>
      </w:r>
      <w:r w:rsidR="005E6F77" w:rsidRPr="005E6F77">
        <w:rPr>
          <w:rFonts w:ascii="Garamond" w:hAnsi="Garamond"/>
          <w:sz w:val="26"/>
          <w:szCs w:val="26"/>
        </w:rPr>
        <w:t xml:space="preserve"> </w:t>
      </w:r>
    </w:p>
    <w:p w14:paraId="680792FE" w14:textId="77777777" w:rsidR="005E6F77" w:rsidRDefault="00A9572B" w:rsidP="00724C3A">
      <w:pPr>
        <w:pStyle w:val="ListParagraph"/>
        <w:numPr>
          <w:ilvl w:val="0"/>
          <w:numId w:val="2"/>
        </w:numPr>
        <w:ind w:left="720"/>
        <w:rPr>
          <w:rFonts w:ascii="Garamond" w:hAnsi="Garamond"/>
          <w:sz w:val="26"/>
          <w:szCs w:val="26"/>
        </w:rPr>
      </w:pPr>
      <w:r>
        <w:rPr>
          <w:rFonts w:ascii="Garamond" w:hAnsi="Garamond"/>
          <w:sz w:val="26"/>
          <w:szCs w:val="26"/>
        </w:rPr>
        <w:t>Jurors</w:t>
      </w:r>
      <w:r w:rsidR="005E6F77" w:rsidRPr="005E6F77">
        <w:rPr>
          <w:rFonts w:ascii="Garamond" w:hAnsi="Garamond"/>
          <w:sz w:val="26"/>
          <w:szCs w:val="26"/>
        </w:rPr>
        <w:t xml:space="preserve"> tend to be unaware of the generally weak relationship between confidence and accuracy and are also unaware of how susceptible witness certainty is to manipulation by suggestive pro</w:t>
      </w:r>
      <w:r w:rsidR="005E6F77">
        <w:rPr>
          <w:rFonts w:ascii="Garamond" w:hAnsi="Garamond"/>
          <w:sz w:val="26"/>
          <w:szCs w:val="26"/>
        </w:rPr>
        <w:t>cedures or confirming feedback.</w:t>
      </w:r>
      <w:r w:rsidR="005E6F77">
        <w:rPr>
          <w:rStyle w:val="FootnoteReference"/>
          <w:rFonts w:ascii="Garamond" w:hAnsi="Garamond"/>
          <w:sz w:val="26"/>
          <w:szCs w:val="26"/>
        </w:rPr>
        <w:footnoteReference w:id="11"/>
      </w:r>
    </w:p>
    <w:p w14:paraId="059EFA56" w14:textId="77777777" w:rsidR="005E6F77" w:rsidRDefault="00A9572B" w:rsidP="00724C3A">
      <w:pPr>
        <w:pStyle w:val="ListParagraph"/>
        <w:numPr>
          <w:ilvl w:val="0"/>
          <w:numId w:val="2"/>
        </w:numPr>
        <w:ind w:left="720"/>
        <w:rPr>
          <w:rFonts w:ascii="Garamond" w:hAnsi="Garamond"/>
          <w:sz w:val="26"/>
          <w:szCs w:val="26"/>
        </w:rPr>
      </w:pPr>
      <w:r>
        <w:rPr>
          <w:rFonts w:ascii="Garamond" w:hAnsi="Garamond"/>
          <w:sz w:val="26"/>
          <w:szCs w:val="26"/>
        </w:rPr>
        <w:t>Jurors</w:t>
      </w:r>
      <w:r w:rsidR="005E6F77" w:rsidRPr="005E6F77">
        <w:rPr>
          <w:rFonts w:ascii="Garamond" w:hAnsi="Garamond"/>
          <w:sz w:val="26"/>
          <w:szCs w:val="26"/>
        </w:rPr>
        <w:t xml:space="preserve"> consistently tend to overvalue the effect of the certainty variable in determining the accuracy </w:t>
      </w:r>
      <w:r>
        <w:rPr>
          <w:rFonts w:ascii="Garamond" w:hAnsi="Garamond"/>
          <w:sz w:val="26"/>
          <w:szCs w:val="26"/>
        </w:rPr>
        <w:t>of eyewitness identifications.</w:t>
      </w:r>
      <w:r w:rsidR="005E6F77">
        <w:rPr>
          <w:rStyle w:val="FootnoteReference"/>
          <w:rFonts w:ascii="Garamond" w:hAnsi="Garamond"/>
          <w:sz w:val="26"/>
          <w:szCs w:val="26"/>
        </w:rPr>
        <w:footnoteReference w:id="12"/>
      </w:r>
    </w:p>
    <w:p w14:paraId="3EF66379" w14:textId="77777777" w:rsidR="005E6F77" w:rsidRDefault="00A9572B" w:rsidP="00C52230">
      <w:pPr>
        <w:rPr>
          <w:rFonts w:ascii="Garamond" w:hAnsi="Garamond"/>
          <w:sz w:val="26"/>
          <w:szCs w:val="26"/>
        </w:rPr>
      </w:pPr>
      <w:r>
        <w:rPr>
          <w:rFonts w:ascii="Garamond" w:hAnsi="Garamond"/>
          <w:sz w:val="26"/>
          <w:szCs w:val="26"/>
        </w:rPr>
        <w:t>Justice Liu</w:t>
      </w:r>
      <w:r w:rsidR="00740BC4">
        <w:rPr>
          <w:rFonts w:ascii="Garamond" w:hAnsi="Garamond"/>
          <w:sz w:val="26"/>
          <w:szCs w:val="26"/>
        </w:rPr>
        <w:t>’</w:t>
      </w:r>
      <w:r>
        <w:rPr>
          <w:rFonts w:ascii="Garamond" w:hAnsi="Garamond"/>
          <w:sz w:val="26"/>
          <w:szCs w:val="26"/>
        </w:rPr>
        <w:t>s concurrence</w:t>
      </w:r>
      <w:r w:rsidR="005E6F77">
        <w:rPr>
          <w:rFonts w:ascii="Garamond" w:hAnsi="Garamond"/>
          <w:sz w:val="26"/>
          <w:szCs w:val="26"/>
        </w:rPr>
        <w:t xml:space="preserve"> is a perfect example of how courts and attorneys can </w:t>
      </w:r>
      <w:r w:rsidR="00954A2E">
        <w:rPr>
          <w:rFonts w:ascii="Garamond" w:hAnsi="Garamond"/>
          <w:sz w:val="26"/>
          <w:szCs w:val="26"/>
        </w:rPr>
        <w:t xml:space="preserve">use scientific research to get </w:t>
      </w:r>
      <w:r w:rsidR="005E6F77">
        <w:rPr>
          <w:rFonts w:ascii="Garamond" w:hAnsi="Garamond"/>
          <w:sz w:val="26"/>
          <w:szCs w:val="26"/>
        </w:rPr>
        <w:t xml:space="preserve">at the truth. Here, there was an intuitive proposition: someone who is confident is more likely right. The court—largely through the hard work of defense lawyers bringing these issues </w:t>
      </w:r>
      <w:r w:rsidR="00954A2E">
        <w:rPr>
          <w:rFonts w:ascii="Garamond" w:hAnsi="Garamond"/>
          <w:sz w:val="26"/>
          <w:szCs w:val="26"/>
        </w:rPr>
        <w:t>forward</w:t>
      </w:r>
      <w:r w:rsidR="005E6F77">
        <w:rPr>
          <w:rFonts w:ascii="Garamond" w:hAnsi="Garamond"/>
          <w:sz w:val="26"/>
          <w:szCs w:val="26"/>
        </w:rPr>
        <w:t xml:space="preserve">—saw that that intuitive proposition was demonstrably false. Defense attorneys throughout the country and at both the trial and appellate levels started raising these issues, and the courts slowly started listening. New Jersey, Connecticut, Oregon, </w:t>
      </w:r>
      <w:r w:rsidR="005E6F77">
        <w:rPr>
          <w:rFonts w:ascii="Garamond" w:hAnsi="Garamond"/>
          <w:sz w:val="26"/>
          <w:szCs w:val="26"/>
        </w:rPr>
        <w:lastRenderedPageBreak/>
        <w:t xml:space="preserve">and many other states were among those that started chipping away at </w:t>
      </w:r>
      <w:r w:rsidR="00954A2E">
        <w:rPr>
          <w:rFonts w:ascii="Garamond" w:hAnsi="Garamond"/>
          <w:sz w:val="26"/>
          <w:szCs w:val="26"/>
        </w:rPr>
        <w:t xml:space="preserve">the </w:t>
      </w:r>
      <w:r w:rsidR="005E6F77">
        <w:rPr>
          <w:rFonts w:ascii="Garamond" w:hAnsi="Garamond"/>
          <w:sz w:val="26"/>
          <w:szCs w:val="26"/>
        </w:rPr>
        <w:t xml:space="preserve">damaging procedural rules that were </w:t>
      </w:r>
      <w:r w:rsidR="009850E7">
        <w:rPr>
          <w:rFonts w:ascii="Garamond" w:hAnsi="Garamond"/>
          <w:sz w:val="26"/>
          <w:szCs w:val="26"/>
        </w:rPr>
        <w:t>permitting bad identifications and ultimately false convictions.</w:t>
      </w:r>
      <w:r w:rsidR="00675F53">
        <w:rPr>
          <w:rStyle w:val="FootnoteReference"/>
          <w:rFonts w:ascii="Garamond" w:hAnsi="Garamond"/>
          <w:sz w:val="26"/>
          <w:szCs w:val="26"/>
        </w:rPr>
        <w:footnoteReference w:id="13"/>
      </w:r>
    </w:p>
    <w:p w14:paraId="0D52F592" w14:textId="77777777" w:rsidR="009850E7" w:rsidRPr="005E6F77" w:rsidRDefault="007412B3" w:rsidP="00C52230">
      <w:pPr>
        <w:rPr>
          <w:rFonts w:ascii="Garamond" w:hAnsi="Garamond"/>
          <w:sz w:val="26"/>
          <w:szCs w:val="26"/>
        </w:rPr>
      </w:pPr>
      <w:r>
        <w:rPr>
          <w:rFonts w:ascii="Garamond" w:hAnsi="Garamond"/>
          <w:sz w:val="26"/>
          <w:szCs w:val="26"/>
        </w:rPr>
        <w:t>This</w:t>
      </w:r>
      <w:r w:rsidR="009850E7">
        <w:rPr>
          <w:rFonts w:ascii="Garamond" w:hAnsi="Garamond"/>
          <w:sz w:val="26"/>
          <w:szCs w:val="26"/>
        </w:rPr>
        <w:t xml:space="preserve"> litigation</w:t>
      </w:r>
      <w:r w:rsidR="00A9572B">
        <w:rPr>
          <w:rFonts w:ascii="Garamond" w:hAnsi="Garamond"/>
          <w:sz w:val="26"/>
          <w:szCs w:val="26"/>
        </w:rPr>
        <w:t xml:space="preserve"> ultimately </w:t>
      </w:r>
      <w:r w:rsidR="009850E7">
        <w:rPr>
          <w:rFonts w:ascii="Garamond" w:hAnsi="Garamond"/>
          <w:sz w:val="26"/>
          <w:szCs w:val="26"/>
        </w:rPr>
        <w:t xml:space="preserve">led to </w:t>
      </w:r>
      <w:r w:rsidR="009850E7" w:rsidRPr="00B709A6">
        <w:rPr>
          <w:rFonts w:ascii="Garamond" w:hAnsi="Garamond"/>
          <w:i/>
          <w:sz w:val="26"/>
          <w:szCs w:val="26"/>
        </w:rPr>
        <w:t>Lemcke</w:t>
      </w:r>
      <w:r w:rsidR="009850E7">
        <w:rPr>
          <w:rFonts w:ascii="Garamond" w:hAnsi="Garamond"/>
          <w:sz w:val="26"/>
          <w:szCs w:val="26"/>
        </w:rPr>
        <w:t xml:space="preserve">, </w:t>
      </w:r>
      <w:r w:rsidR="009850E7" w:rsidRPr="00B709A6">
        <w:rPr>
          <w:rFonts w:ascii="Garamond" w:hAnsi="Garamond"/>
          <w:i/>
          <w:sz w:val="26"/>
          <w:szCs w:val="26"/>
        </w:rPr>
        <w:t>supra</w:t>
      </w:r>
      <w:r w:rsidR="009850E7">
        <w:rPr>
          <w:rFonts w:ascii="Garamond" w:hAnsi="Garamond"/>
          <w:sz w:val="26"/>
          <w:szCs w:val="26"/>
        </w:rPr>
        <w:t xml:space="preserve">, </w:t>
      </w:r>
      <w:r w:rsidR="00B709A6">
        <w:rPr>
          <w:rFonts w:ascii="Garamond" w:hAnsi="Garamond"/>
          <w:sz w:val="26"/>
          <w:szCs w:val="26"/>
        </w:rPr>
        <w:t xml:space="preserve">11 Cal.5th 644, </w:t>
      </w:r>
      <w:r w:rsidR="009850E7">
        <w:rPr>
          <w:rFonts w:ascii="Garamond" w:hAnsi="Garamond"/>
          <w:sz w:val="26"/>
          <w:szCs w:val="26"/>
        </w:rPr>
        <w:t xml:space="preserve">where—while </w:t>
      </w:r>
      <w:r w:rsidR="00B959B8">
        <w:rPr>
          <w:rFonts w:ascii="Garamond" w:hAnsi="Garamond"/>
          <w:sz w:val="26"/>
          <w:szCs w:val="26"/>
        </w:rPr>
        <w:t xml:space="preserve">not </w:t>
      </w:r>
      <w:r w:rsidR="009850E7">
        <w:rPr>
          <w:rFonts w:ascii="Garamond" w:hAnsi="Garamond"/>
          <w:sz w:val="26"/>
          <w:szCs w:val="26"/>
        </w:rPr>
        <w:t xml:space="preserve">necessarily a victory for the clients themselves—the Supreme Court recommended a revision to the certainty instruction specifically to reflect the scientific research showing that the instruction is misleading. </w:t>
      </w:r>
      <w:r w:rsidR="00B709A6">
        <w:rPr>
          <w:rFonts w:ascii="Garamond" w:hAnsi="Garamond"/>
          <w:sz w:val="26"/>
          <w:szCs w:val="26"/>
        </w:rPr>
        <w:t>(</w:t>
      </w:r>
      <w:r w:rsidR="00B709A6" w:rsidRPr="00B709A6">
        <w:rPr>
          <w:rFonts w:ascii="Garamond" w:hAnsi="Garamond"/>
          <w:i/>
          <w:sz w:val="26"/>
          <w:szCs w:val="26"/>
        </w:rPr>
        <w:t>Id</w:t>
      </w:r>
      <w:r w:rsidR="00B709A6">
        <w:rPr>
          <w:rFonts w:ascii="Garamond" w:hAnsi="Garamond"/>
          <w:sz w:val="26"/>
          <w:szCs w:val="26"/>
        </w:rPr>
        <w:t xml:space="preserve">. at p. 669.) </w:t>
      </w:r>
      <w:r w:rsidR="009850E7">
        <w:rPr>
          <w:rFonts w:ascii="Garamond" w:hAnsi="Garamond"/>
          <w:sz w:val="26"/>
          <w:szCs w:val="26"/>
        </w:rPr>
        <w:t xml:space="preserve">The Court also banned the use of the instruction until a new instruction has been crafted. </w:t>
      </w:r>
      <w:r w:rsidR="00B709A6">
        <w:rPr>
          <w:rFonts w:ascii="Garamond" w:hAnsi="Garamond"/>
          <w:sz w:val="26"/>
          <w:szCs w:val="26"/>
        </w:rPr>
        <w:t>(</w:t>
      </w:r>
      <w:r w:rsidR="00B709A6" w:rsidRPr="00B709A6">
        <w:rPr>
          <w:rFonts w:ascii="Garamond" w:hAnsi="Garamond"/>
          <w:i/>
          <w:sz w:val="26"/>
          <w:szCs w:val="26"/>
        </w:rPr>
        <w:t>Ibid</w:t>
      </w:r>
      <w:r w:rsidR="00B709A6">
        <w:rPr>
          <w:rFonts w:ascii="Garamond" w:hAnsi="Garamond"/>
          <w:sz w:val="26"/>
          <w:szCs w:val="26"/>
        </w:rPr>
        <w:t>.)</w:t>
      </w:r>
    </w:p>
    <w:p w14:paraId="42A3A8FF" w14:textId="77777777" w:rsidR="00D37CE8" w:rsidRDefault="009850E7" w:rsidP="00C52230">
      <w:pPr>
        <w:rPr>
          <w:rFonts w:ascii="Garamond" w:hAnsi="Garamond"/>
          <w:sz w:val="26"/>
          <w:szCs w:val="26"/>
        </w:rPr>
      </w:pPr>
      <w:r>
        <w:rPr>
          <w:rFonts w:ascii="Garamond" w:hAnsi="Garamond"/>
          <w:sz w:val="26"/>
          <w:szCs w:val="26"/>
        </w:rPr>
        <w:t xml:space="preserve">So where do we go from here? </w:t>
      </w:r>
      <w:r w:rsidR="00B709A6">
        <w:rPr>
          <w:rFonts w:ascii="Garamond" w:hAnsi="Garamond"/>
          <w:sz w:val="26"/>
          <w:szCs w:val="26"/>
        </w:rPr>
        <w:t xml:space="preserve">There are a couple of options. </w:t>
      </w:r>
      <w:r w:rsidR="00516695">
        <w:rPr>
          <w:rFonts w:ascii="Garamond" w:hAnsi="Garamond"/>
          <w:sz w:val="26"/>
          <w:szCs w:val="26"/>
        </w:rPr>
        <w:t>First, when you</w:t>
      </w:r>
      <w:r w:rsidR="00740BC4">
        <w:rPr>
          <w:rFonts w:ascii="Garamond" w:hAnsi="Garamond"/>
          <w:sz w:val="26"/>
          <w:szCs w:val="26"/>
        </w:rPr>
        <w:t>’</w:t>
      </w:r>
      <w:r w:rsidR="00516695">
        <w:rPr>
          <w:rFonts w:ascii="Garamond" w:hAnsi="Garamond"/>
          <w:sz w:val="26"/>
          <w:szCs w:val="26"/>
        </w:rPr>
        <w:t xml:space="preserve">re talking prejudice and the court wants to say, </w:t>
      </w:r>
      <w:r w:rsidR="00740BC4">
        <w:rPr>
          <w:rFonts w:ascii="Garamond" w:hAnsi="Garamond"/>
          <w:sz w:val="26"/>
          <w:szCs w:val="26"/>
        </w:rPr>
        <w:t>“</w:t>
      </w:r>
      <w:r w:rsidR="00516695">
        <w:rPr>
          <w:rFonts w:ascii="Garamond" w:hAnsi="Garamond"/>
          <w:sz w:val="26"/>
          <w:szCs w:val="26"/>
        </w:rPr>
        <w:t xml:space="preserve">Well, </w:t>
      </w:r>
      <w:r w:rsidR="00B959B8">
        <w:rPr>
          <w:rFonts w:ascii="Garamond" w:hAnsi="Garamond"/>
          <w:sz w:val="26"/>
          <w:szCs w:val="26"/>
        </w:rPr>
        <w:t>counselor</w:t>
      </w:r>
      <w:r w:rsidR="00516695">
        <w:rPr>
          <w:rFonts w:ascii="Garamond" w:hAnsi="Garamond"/>
          <w:sz w:val="26"/>
          <w:szCs w:val="26"/>
        </w:rPr>
        <w:t xml:space="preserve">, the witnesses IDed </w:t>
      </w:r>
      <w:r w:rsidR="00B959B8">
        <w:rPr>
          <w:rFonts w:ascii="Garamond" w:hAnsi="Garamond"/>
          <w:sz w:val="26"/>
          <w:szCs w:val="26"/>
        </w:rPr>
        <w:t>your guy</w:t>
      </w:r>
      <w:r w:rsidR="00516695">
        <w:rPr>
          <w:rFonts w:ascii="Garamond" w:hAnsi="Garamond"/>
          <w:sz w:val="26"/>
          <w:szCs w:val="26"/>
        </w:rPr>
        <w:t xml:space="preserve"> as the shooter,</w:t>
      </w:r>
      <w:r w:rsidR="00D37CE8">
        <w:rPr>
          <w:rFonts w:ascii="Garamond" w:hAnsi="Garamond"/>
          <w:sz w:val="26"/>
          <w:szCs w:val="26"/>
        </w:rPr>
        <w:t xml:space="preserve"> so your little evidentiary issue is harmless,</w:t>
      </w:r>
      <w:r w:rsidR="00740BC4">
        <w:rPr>
          <w:rFonts w:ascii="Garamond" w:hAnsi="Garamond"/>
          <w:sz w:val="26"/>
          <w:szCs w:val="26"/>
        </w:rPr>
        <w:t>”</w:t>
      </w:r>
      <w:r w:rsidR="00516695">
        <w:rPr>
          <w:rFonts w:ascii="Garamond" w:hAnsi="Garamond"/>
          <w:sz w:val="26"/>
          <w:szCs w:val="26"/>
        </w:rPr>
        <w:t xml:space="preserve"> </w:t>
      </w:r>
      <w:r w:rsidR="00A9572B">
        <w:rPr>
          <w:rFonts w:ascii="Garamond" w:hAnsi="Garamond"/>
          <w:sz w:val="26"/>
          <w:szCs w:val="26"/>
        </w:rPr>
        <w:t xml:space="preserve">then </w:t>
      </w:r>
      <w:r w:rsidR="00516695">
        <w:rPr>
          <w:rFonts w:ascii="Garamond" w:hAnsi="Garamond"/>
          <w:sz w:val="26"/>
          <w:szCs w:val="26"/>
        </w:rPr>
        <w:t xml:space="preserve">point out all the things that make </w:t>
      </w:r>
      <w:r w:rsidR="00D37CE8">
        <w:rPr>
          <w:rFonts w:ascii="Garamond" w:hAnsi="Garamond"/>
          <w:sz w:val="26"/>
          <w:szCs w:val="26"/>
        </w:rPr>
        <w:t xml:space="preserve">the </w:t>
      </w:r>
      <w:r w:rsidR="00516695">
        <w:rPr>
          <w:rFonts w:ascii="Garamond" w:hAnsi="Garamond"/>
          <w:sz w:val="26"/>
          <w:szCs w:val="26"/>
        </w:rPr>
        <w:t xml:space="preserve">identification unreliable: </w:t>
      </w:r>
    </w:p>
    <w:p w14:paraId="1B971901" w14:textId="77777777" w:rsidR="00D37CE8" w:rsidRDefault="00D37CE8" w:rsidP="00724C3A">
      <w:pPr>
        <w:pStyle w:val="ListParagraph"/>
        <w:numPr>
          <w:ilvl w:val="0"/>
          <w:numId w:val="3"/>
        </w:numPr>
        <w:ind w:left="720"/>
        <w:rPr>
          <w:rFonts w:ascii="Garamond" w:hAnsi="Garamond"/>
          <w:sz w:val="26"/>
          <w:szCs w:val="26"/>
        </w:rPr>
      </w:pPr>
      <w:r w:rsidRPr="00D37CE8">
        <w:rPr>
          <w:rFonts w:ascii="Garamond" w:hAnsi="Garamond"/>
          <w:sz w:val="26"/>
          <w:szCs w:val="26"/>
        </w:rPr>
        <w:t>the passage of time between the witness</w:t>
      </w:r>
      <w:r w:rsidR="00740BC4">
        <w:rPr>
          <w:rFonts w:ascii="Garamond" w:hAnsi="Garamond"/>
          <w:sz w:val="26"/>
          <w:szCs w:val="26"/>
        </w:rPr>
        <w:t>’</w:t>
      </w:r>
      <w:r w:rsidRPr="00D37CE8">
        <w:rPr>
          <w:rFonts w:ascii="Garamond" w:hAnsi="Garamond"/>
          <w:sz w:val="26"/>
          <w:szCs w:val="26"/>
        </w:rPr>
        <w:t>s exposure to the subject and the identification,</w:t>
      </w:r>
      <w:r>
        <w:rPr>
          <w:rStyle w:val="FootnoteReference"/>
          <w:rFonts w:ascii="Garamond" w:hAnsi="Garamond"/>
          <w:sz w:val="26"/>
          <w:szCs w:val="26"/>
        </w:rPr>
        <w:footnoteReference w:id="14"/>
      </w:r>
      <w:r w:rsidRPr="00D37CE8">
        <w:rPr>
          <w:rFonts w:ascii="Garamond" w:hAnsi="Garamond"/>
          <w:sz w:val="26"/>
          <w:szCs w:val="26"/>
        </w:rPr>
        <w:t xml:space="preserve">  </w:t>
      </w:r>
    </w:p>
    <w:p w14:paraId="0EA6F117" w14:textId="77777777" w:rsidR="00D37CE8" w:rsidRDefault="00D37CE8" w:rsidP="00724C3A">
      <w:pPr>
        <w:pStyle w:val="ListParagraph"/>
        <w:numPr>
          <w:ilvl w:val="0"/>
          <w:numId w:val="3"/>
        </w:numPr>
        <w:ind w:left="720"/>
        <w:rPr>
          <w:rFonts w:ascii="Garamond" w:hAnsi="Garamond"/>
          <w:sz w:val="26"/>
          <w:szCs w:val="26"/>
        </w:rPr>
      </w:pPr>
      <w:r w:rsidRPr="00D37CE8">
        <w:rPr>
          <w:rFonts w:ascii="Garamond" w:hAnsi="Garamond"/>
          <w:sz w:val="26"/>
          <w:szCs w:val="26"/>
        </w:rPr>
        <w:t>witness stress at the time of the exposure,</w:t>
      </w:r>
      <w:r>
        <w:rPr>
          <w:rStyle w:val="FootnoteReference"/>
          <w:rFonts w:ascii="Garamond" w:hAnsi="Garamond"/>
          <w:sz w:val="26"/>
          <w:szCs w:val="26"/>
        </w:rPr>
        <w:footnoteReference w:id="15"/>
      </w:r>
      <w:r w:rsidRPr="00D37CE8">
        <w:rPr>
          <w:rFonts w:ascii="Garamond" w:hAnsi="Garamond"/>
          <w:sz w:val="26"/>
          <w:szCs w:val="26"/>
        </w:rPr>
        <w:t xml:space="preserve">  </w:t>
      </w:r>
    </w:p>
    <w:p w14:paraId="357BBBE6" w14:textId="77777777" w:rsidR="00D37CE8" w:rsidRDefault="00D37CE8" w:rsidP="00724C3A">
      <w:pPr>
        <w:pStyle w:val="ListParagraph"/>
        <w:numPr>
          <w:ilvl w:val="0"/>
          <w:numId w:val="3"/>
        </w:numPr>
        <w:ind w:left="720"/>
        <w:rPr>
          <w:rFonts w:ascii="Garamond" w:hAnsi="Garamond"/>
          <w:sz w:val="26"/>
          <w:szCs w:val="26"/>
        </w:rPr>
      </w:pPr>
      <w:r w:rsidRPr="00D37CE8">
        <w:rPr>
          <w:rFonts w:ascii="Garamond" w:hAnsi="Garamond"/>
          <w:sz w:val="26"/>
          <w:szCs w:val="26"/>
        </w:rPr>
        <w:t>duration of the exposure,</w:t>
      </w:r>
      <w:r>
        <w:rPr>
          <w:rStyle w:val="FootnoteReference"/>
          <w:rFonts w:ascii="Garamond" w:hAnsi="Garamond"/>
          <w:sz w:val="26"/>
          <w:szCs w:val="26"/>
        </w:rPr>
        <w:footnoteReference w:id="16"/>
      </w:r>
      <w:r w:rsidRPr="00D37CE8">
        <w:rPr>
          <w:rFonts w:ascii="Garamond" w:hAnsi="Garamond"/>
          <w:sz w:val="26"/>
          <w:szCs w:val="26"/>
        </w:rPr>
        <w:t xml:space="preserve">  </w:t>
      </w:r>
    </w:p>
    <w:p w14:paraId="66E43766" w14:textId="77777777" w:rsidR="00D37CE8" w:rsidRDefault="00D37CE8" w:rsidP="00724C3A">
      <w:pPr>
        <w:pStyle w:val="ListParagraph"/>
        <w:numPr>
          <w:ilvl w:val="0"/>
          <w:numId w:val="3"/>
        </w:numPr>
        <w:ind w:left="720"/>
        <w:rPr>
          <w:rFonts w:ascii="Garamond" w:hAnsi="Garamond"/>
          <w:sz w:val="26"/>
          <w:szCs w:val="26"/>
        </w:rPr>
      </w:pPr>
      <w:r w:rsidRPr="00D37CE8">
        <w:rPr>
          <w:rFonts w:ascii="Garamond" w:hAnsi="Garamond"/>
          <w:sz w:val="26"/>
          <w:szCs w:val="26"/>
        </w:rPr>
        <w:t>distance from which the witness observed the suspect,</w:t>
      </w:r>
      <w:r>
        <w:rPr>
          <w:rStyle w:val="FootnoteReference"/>
          <w:rFonts w:ascii="Garamond" w:hAnsi="Garamond"/>
          <w:sz w:val="26"/>
          <w:szCs w:val="26"/>
        </w:rPr>
        <w:footnoteReference w:id="17"/>
      </w:r>
      <w:r w:rsidRPr="00D37CE8">
        <w:rPr>
          <w:rFonts w:ascii="Garamond" w:hAnsi="Garamond"/>
          <w:sz w:val="26"/>
          <w:szCs w:val="26"/>
        </w:rPr>
        <w:t xml:space="preserve">  </w:t>
      </w:r>
    </w:p>
    <w:p w14:paraId="5C2E43E2" w14:textId="77777777" w:rsidR="00D37CE8" w:rsidRDefault="00D37CE8" w:rsidP="00724C3A">
      <w:pPr>
        <w:pStyle w:val="ListParagraph"/>
        <w:numPr>
          <w:ilvl w:val="0"/>
          <w:numId w:val="3"/>
        </w:numPr>
        <w:ind w:left="720"/>
        <w:rPr>
          <w:rFonts w:ascii="Garamond" w:hAnsi="Garamond"/>
          <w:sz w:val="26"/>
          <w:szCs w:val="26"/>
        </w:rPr>
      </w:pPr>
      <w:r w:rsidRPr="00D37CE8">
        <w:rPr>
          <w:rFonts w:ascii="Garamond" w:hAnsi="Garamond"/>
          <w:sz w:val="26"/>
          <w:szCs w:val="26"/>
        </w:rPr>
        <w:t>weapon focus,</w:t>
      </w:r>
      <w:r>
        <w:rPr>
          <w:rStyle w:val="FootnoteReference"/>
          <w:rFonts w:ascii="Garamond" w:hAnsi="Garamond"/>
          <w:sz w:val="26"/>
          <w:szCs w:val="26"/>
        </w:rPr>
        <w:footnoteReference w:id="18"/>
      </w:r>
      <w:r w:rsidRPr="00D37CE8">
        <w:rPr>
          <w:rFonts w:ascii="Garamond" w:hAnsi="Garamond"/>
          <w:sz w:val="26"/>
          <w:szCs w:val="26"/>
        </w:rPr>
        <w:t xml:space="preserve">  and </w:t>
      </w:r>
    </w:p>
    <w:p w14:paraId="75EF0A4B" w14:textId="77777777" w:rsidR="00D07BF5" w:rsidRDefault="00D37CE8" w:rsidP="00724C3A">
      <w:pPr>
        <w:pStyle w:val="ListParagraph"/>
        <w:numPr>
          <w:ilvl w:val="0"/>
          <w:numId w:val="3"/>
        </w:numPr>
        <w:ind w:left="720"/>
        <w:rPr>
          <w:rFonts w:ascii="Garamond" w:hAnsi="Garamond"/>
          <w:sz w:val="26"/>
          <w:szCs w:val="26"/>
        </w:rPr>
      </w:pPr>
      <w:r w:rsidRPr="00D37CE8">
        <w:rPr>
          <w:rFonts w:ascii="Garamond" w:hAnsi="Garamond"/>
          <w:sz w:val="26"/>
          <w:szCs w:val="26"/>
        </w:rPr>
        <w:t>cross-racial bias.</w:t>
      </w:r>
      <w:r>
        <w:rPr>
          <w:rStyle w:val="FootnoteReference"/>
          <w:rFonts w:ascii="Garamond" w:hAnsi="Garamond"/>
          <w:sz w:val="26"/>
          <w:szCs w:val="26"/>
        </w:rPr>
        <w:footnoteReference w:id="19"/>
      </w:r>
      <w:r w:rsidRPr="00D37CE8">
        <w:rPr>
          <w:rFonts w:ascii="Garamond" w:hAnsi="Garamond"/>
          <w:sz w:val="26"/>
          <w:szCs w:val="26"/>
        </w:rPr>
        <w:t xml:space="preserve">  </w:t>
      </w:r>
      <w:r w:rsidR="00D07BF5" w:rsidRPr="00D37CE8">
        <w:rPr>
          <w:rFonts w:ascii="Garamond" w:hAnsi="Garamond"/>
          <w:sz w:val="26"/>
          <w:szCs w:val="26"/>
        </w:rPr>
        <w:t xml:space="preserve"> </w:t>
      </w:r>
    </w:p>
    <w:p w14:paraId="6E6ACD3D" w14:textId="77777777" w:rsidR="00B959B8" w:rsidRDefault="00A9572B" w:rsidP="00C52230">
      <w:pPr>
        <w:rPr>
          <w:rFonts w:ascii="Garamond" w:hAnsi="Garamond"/>
          <w:sz w:val="26"/>
          <w:szCs w:val="26"/>
        </w:rPr>
      </w:pPr>
      <w:r>
        <w:rPr>
          <w:rFonts w:ascii="Garamond" w:hAnsi="Garamond"/>
          <w:sz w:val="26"/>
          <w:szCs w:val="26"/>
        </w:rPr>
        <w:t>It</w:t>
      </w:r>
      <w:r w:rsidR="00740BC4">
        <w:rPr>
          <w:rFonts w:ascii="Garamond" w:hAnsi="Garamond"/>
          <w:sz w:val="26"/>
          <w:szCs w:val="26"/>
        </w:rPr>
        <w:t>’</w:t>
      </w:r>
      <w:r>
        <w:rPr>
          <w:rFonts w:ascii="Garamond" w:hAnsi="Garamond"/>
          <w:sz w:val="26"/>
          <w:szCs w:val="26"/>
        </w:rPr>
        <w:t>s intuitive that these factors can affect the reliability of an identification, and most of us are already making these arguments in our briefs. But t</w:t>
      </w:r>
      <w:r w:rsidR="00D37CE8">
        <w:rPr>
          <w:rFonts w:ascii="Garamond" w:hAnsi="Garamond"/>
          <w:sz w:val="26"/>
          <w:szCs w:val="26"/>
        </w:rPr>
        <w:t>hese are areas where the science can strengthen our intuition: We know</w:t>
      </w:r>
      <w:r w:rsidR="00B959B8">
        <w:rPr>
          <w:rFonts w:ascii="Garamond" w:hAnsi="Garamond"/>
          <w:sz w:val="26"/>
          <w:szCs w:val="26"/>
        </w:rPr>
        <w:t>, for instance, that</w:t>
      </w:r>
      <w:r w:rsidR="00D37CE8">
        <w:rPr>
          <w:rFonts w:ascii="Garamond" w:hAnsi="Garamond"/>
          <w:sz w:val="26"/>
          <w:szCs w:val="26"/>
        </w:rPr>
        <w:t xml:space="preserve"> being further away from someone makes it harder to identify them. But Geoffrey Loftus and Erin Harley explain</w:t>
      </w:r>
      <w:r w:rsidR="0020614F">
        <w:rPr>
          <w:rFonts w:ascii="Garamond" w:hAnsi="Garamond"/>
          <w:sz w:val="26"/>
          <w:szCs w:val="26"/>
        </w:rPr>
        <w:t xml:space="preserve"> how</w:t>
      </w:r>
      <w:r>
        <w:rPr>
          <w:rFonts w:ascii="Garamond" w:hAnsi="Garamond"/>
          <w:sz w:val="26"/>
          <w:szCs w:val="26"/>
        </w:rPr>
        <w:t xml:space="preserve"> that </w:t>
      </w:r>
      <w:r>
        <w:rPr>
          <w:rFonts w:ascii="Garamond" w:hAnsi="Garamond"/>
          <w:sz w:val="26"/>
          <w:szCs w:val="26"/>
        </w:rPr>
        <w:lastRenderedPageBreak/>
        <w:t xml:space="preserve">works. In </w:t>
      </w:r>
      <w:r w:rsidR="008F7508">
        <w:rPr>
          <w:rFonts w:ascii="Garamond" w:hAnsi="Garamond"/>
          <w:sz w:val="26"/>
          <w:szCs w:val="26"/>
        </w:rPr>
        <w:t>their article</w:t>
      </w:r>
      <w:r>
        <w:rPr>
          <w:rFonts w:ascii="Garamond" w:hAnsi="Garamond"/>
          <w:sz w:val="26"/>
          <w:szCs w:val="26"/>
        </w:rPr>
        <w:t>, the researchers dive into the brain research that shows how we perceive faces at a distance and why our perceptions after a certain point are not reliable. And perhaps most usefully for our purposes, they</w:t>
      </w:r>
      <w:r w:rsidR="0020614F">
        <w:rPr>
          <w:rFonts w:ascii="Garamond" w:hAnsi="Garamond"/>
          <w:sz w:val="26"/>
          <w:szCs w:val="26"/>
        </w:rPr>
        <w:t xml:space="preserve"> give </w:t>
      </w:r>
      <w:r>
        <w:rPr>
          <w:rFonts w:ascii="Garamond" w:hAnsi="Garamond"/>
          <w:sz w:val="26"/>
          <w:szCs w:val="26"/>
        </w:rPr>
        <w:t xml:space="preserve">visual </w:t>
      </w:r>
      <w:r w:rsidR="0020614F">
        <w:rPr>
          <w:rFonts w:ascii="Garamond" w:hAnsi="Garamond"/>
          <w:sz w:val="26"/>
          <w:szCs w:val="26"/>
        </w:rPr>
        <w:t xml:space="preserve">examples </w:t>
      </w:r>
      <w:r>
        <w:rPr>
          <w:rFonts w:ascii="Garamond" w:hAnsi="Garamond"/>
          <w:sz w:val="26"/>
          <w:szCs w:val="26"/>
        </w:rPr>
        <w:t xml:space="preserve">we can incorporate into briefs. </w:t>
      </w:r>
      <w:r w:rsidR="008F7508">
        <w:rPr>
          <w:rFonts w:ascii="Garamond" w:hAnsi="Garamond"/>
          <w:sz w:val="26"/>
          <w:szCs w:val="26"/>
        </w:rPr>
        <w:t>(</w:t>
      </w:r>
      <w:r w:rsidR="008F7508" w:rsidRPr="008F7508">
        <w:rPr>
          <w:rFonts w:ascii="Garamond" w:hAnsi="Garamond"/>
          <w:sz w:val="26"/>
          <w:szCs w:val="26"/>
        </w:rPr>
        <w:t xml:space="preserve">Loftus &amp; Harley, </w:t>
      </w:r>
      <w:r w:rsidR="008F7508" w:rsidRPr="008F7508">
        <w:rPr>
          <w:rFonts w:ascii="Garamond" w:hAnsi="Garamond"/>
          <w:i/>
          <w:sz w:val="26"/>
          <w:szCs w:val="26"/>
        </w:rPr>
        <w:t>supra</w:t>
      </w:r>
      <w:r w:rsidR="008F7508">
        <w:rPr>
          <w:rFonts w:ascii="Garamond" w:hAnsi="Garamond"/>
          <w:sz w:val="26"/>
          <w:szCs w:val="26"/>
        </w:rPr>
        <w:t xml:space="preserve">, </w:t>
      </w:r>
      <w:r w:rsidR="008F7508" w:rsidRPr="008F7508">
        <w:rPr>
          <w:rFonts w:ascii="Garamond" w:hAnsi="Garamond"/>
          <w:sz w:val="26"/>
          <w:szCs w:val="26"/>
        </w:rPr>
        <w:t>12 Psychonomic Bull. &amp; Rev. 43</w:t>
      </w:r>
      <w:r w:rsidR="008F7508">
        <w:rPr>
          <w:rFonts w:ascii="Garamond" w:hAnsi="Garamond"/>
          <w:sz w:val="26"/>
          <w:szCs w:val="26"/>
        </w:rPr>
        <w:t xml:space="preserve"> at p. *3.)</w:t>
      </w:r>
    </w:p>
    <w:p w14:paraId="12508FE1" w14:textId="77777777" w:rsidR="0016022C" w:rsidRDefault="00A9572B" w:rsidP="00C52230">
      <w:pPr>
        <w:rPr>
          <w:rFonts w:ascii="Garamond" w:hAnsi="Garamond"/>
          <w:sz w:val="26"/>
          <w:szCs w:val="26"/>
        </w:rPr>
      </w:pPr>
      <w:r>
        <w:rPr>
          <w:rFonts w:ascii="Garamond" w:hAnsi="Garamond"/>
          <w:sz w:val="26"/>
          <w:szCs w:val="26"/>
        </w:rPr>
        <w:t>For instance, they use</w:t>
      </w:r>
      <w:r w:rsidR="0020614F">
        <w:rPr>
          <w:rFonts w:ascii="Garamond" w:hAnsi="Garamond"/>
          <w:sz w:val="26"/>
          <w:szCs w:val="26"/>
        </w:rPr>
        <w:t xml:space="preserve"> pictures of Julia Roberts </w:t>
      </w:r>
      <w:r>
        <w:rPr>
          <w:rFonts w:ascii="Garamond" w:hAnsi="Garamond"/>
          <w:sz w:val="26"/>
          <w:szCs w:val="26"/>
        </w:rPr>
        <w:t xml:space="preserve">at various sizes to show how </w:t>
      </w:r>
      <w:r w:rsidR="00954A2E">
        <w:rPr>
          <w:rFonts w:ascii="Garamond" w:hAnsi="Garamond"/>
          <w:sz w:val="26"/>
          <w:szCs w:val="26"/>
        </w:rPr>
        <w:t xml:space="preserve">her </w:t>
      </w:r>
      <w:r>
        <w:rPr>
          <w:rFonts w:ascii="Garamond" w:hAnsi="Garamond"/>
          <w:sz w:val="26"/>
          <w:szCs w:val="26"/>
        </w:rPr>
        <w:t xml:space="preserve">face would be </w:t>
      </w:r>
      <w:r w:rsidR="0020614F">
        <w:rPr>
          <w:rFonts w:ascii="Garamond" w:hAnsi="Garamond"/>
          <w:sz w:val="26"/>
          <w:szCs w:val="26"/>
        </w:rPr>
        <w:t>seen at various distances</w:t>
      </w:r>
      <w:r w:rsidR="0016022C">
        <w:rPr>
          <w:rFonts w:ascii="Garamond" w:hAnsi="Garamond"/>
          <w:sz w:val="26"/>
          <w:szCs w:val="26"/>
        </w:rPr>
        <w:t>:</w:t>
      </w:r>
    </w:p>
    <w:p w14:paraId="37AC61D0" w14:textId="77777777" w:rsidR="0016022C" w:rsidRPr="008B3619" w:rsidRDefault="0016022C" w:rsidP="00E26098">
      <w:pPr>
        <w:keepNext/>
        <w:keepLines/>
        <w:spacing w:before="38" w:after="0" w:line="240" w:lineRule="auto"/>
        <w:ind w:left="1887" w:right="-20"/>
        <w:rPr>
          <w:rFonts w:ascii="Garamond" w:eastAsia="Times New Roman" w:hAnsi="Garamond" w:cs="Times New Roman"/>
          <w:sz w:val="31"/>
          <w:szCs w:val="31"/>
        </w:rPr>
      </w:pPr>
      <w:r w:rsidRPr="008B3619">
        <w:rPr>
          <w:rFonts w:ascii="Garamond" w:eastAsia="Times New Roman" w:hAnsi="Garamond" w:cs="Times New Roman"/>
          <w:sz w:val="31"/>
          <w:szCs w:val="31"/>
        </w:rPr>
        <w:t>5.4</w:t>
      </w:r>
      <w:r w:rsidRPr="008B3619">
        <w:rPr>
          <w:rFonts w:ascii="Garamond" w:eastAsia="Times New Roman" w:hAnsi="Garamond" w:cs="Times New Roman"/>
          <w:spacing w:val="10"/>
          <w:sz w:val="31"/>
          <w:szCs w:val="31"/>
        </w:rPr>
        <w:t xml:space="preserve"> </w:t>
      </w:r>
      <w:r w:rsidR="008B3619" w:rsidRPr="008B3619">
        <w:rPr>
          <w:rFonts w:ascii="Garamond" w:eastAsia="Times New Roman" w:hAnsi="Garamond" w:cs="Times New Roman"/>
          <w:w w:val="102"/>
          <w:sz w:val="31"/>
          <w:szCs w:val="31"/>
        </w:rPr>
        <w:t>feet</w:t>
      </w:r>
    </w:p>
    <w:p w14:paraId="6B312F71" w14:textId="77777777" w:rsidR="0016022C" w:rsidRDefault="0016022C" w:rsidP="00E26098">
      <w:pPr>
        <w:keepNext/>
        <w:keepLines/>
        <w:spacing w:before="2" w:after="0" w:line="150" w:lineRule="exact"/>
        <w:rPr>
          <w:sz w:val="15"/>
          <w:szCs w:val="15"/>
        </w:rPr>
      </w:pPr>
    </w:p>
    <w:p w14:paraId="58F5FBCF" w14:textId="77777777" w:rsidR="0016022C" w:rsidRDefault="0016022C" w:rsidP="00E26098">
      <w:pPr>
        <w:keepNext/>
        <w:keepLines/>
        <w:spacing w:after="0" w:line="240" w:lineRule="auto"/>
        <w:ind w:left="143" w:right="-20"/>
        <w:rPr>
          <w:rFonts w:ascii="Times New Roman" w:eastAsia="Times New Roman" w:hAnsi="Times New Roman" w:cs="Times New Roman"/>
          <w:sz w:val="20"/>
          <w:szCs w:val="20"/>
        </w:rPr>
      </w:pPr>
      <w:r>
        <w:rPr>
          <w:noProof/>
        </w:rPr>
        <w:drawing>
          <wp:inline distT="0" distB="0" distL="0" distR="0" wp14:anchorId="4B9A7E91" wp14:editId="00F670EC">
            <wp:extent cx="2698750" cy="32448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8750" cy="3244850"/>
                    </a:xfrm>
                    <a:prstGeom prst="rect">
                      <a:avLst/>
                    </a:prstGeom>
                    <a:noFill/>
                    <a:ln>
                      <a:noFill/>
                    </a:ln>
                  </pic:spPr>
                </pic:pic>
              </a:graphicData>
            </a:graphic>
          </wp:inline>
        </w:drawing>
      </w:r>
    </w:p>
    <w:p w14:paraId="6FCA147B" w14:textId="77777777" w:rsidR="0016022C" w:rsidRDefault="0016022C" w:rsidP="0016022C">
      <w:pPr>
        <w:spacing w:before="9" w:after="0" w:line="180" w:lineRule="exact"/>
        <w:rPr>
          <w:sz w:val="18"/>
          <w:szCs w:val="18"/>
        </w:rPr>
      </w:pPr>
    </w:p>
    <w:p w14:paraId="36809C2F" w14:textId="77777777" w:rsidR="0016022C" w:rsidRDefault="0016022C" w:rsidP="0016022C">
      <w:pPr>
        <w:spacing w:after="0" w:line="240" w:lineRule="auto"/>
        <w:ind w:left="1969" w:right="-20"/>
        <w:rPr>
          <w:rFonts w:ascii="Times New Roman" w:eastAsia="Times New Roman" w:hAnsi="Times New Roman" w:cs="Times New Roman"/>
          <w:sz w:val="31"/>
          <w:szCs w:val="31"/>
        </w:rPr>
      </w:pPr>
      <w:r w:rsidRPr="008B3619">
        <w:rPr>
          <w:rFonts w:ascii="Garamond" w:eastAsia="Times New Roman" w:hAnsi="Garamond" w:cs="Times New Roman"/>
          <w:sz w:val="31"/>
          <w:szCs w:val="31"/>
        </w:rPr>
        <w:t>43</w:t>
      </w:r>
      <w:r w:rsidRPr="008B3619">
        <w:rPr>
          <w:rFonts w:ascii="Garamond" w:eastAsia="Times New Roman" w:hAnsi="Garamond" w:cs="Times New Roman"/>
          <w:spacing w:val="8"/>
          <w:sz w:val="31"/>
          <w:szCs w:val="31"/>
        </w:rPr>
        <w:t xml:space="preserve"> </w:t>
      </w:r>
      <w:r w:rsidR="008B3619" w:rsidRPr="008B3619">
        <w:rPr>
          <w:rFonts w:ascii="Garamond" w:eastAsia="Times New Roman" w:hAnsi="Garamond" w:cs="Times New Roman"/>
          <w:w w:val="102"/>
          <w:sz w:val="31"/>
          <w:szCs w:val="31"/>
        </w:rPr>
        <w:t>feet</w:t>
      </w:r>
    </w:p>
    <w:p w14:paraId="7EF48752" w14:textId="77777777" w:rsidR="0016022C" w:rsidRDefault="0016022C" w:rsidP="0016022C">
      <w:pPr>
        <w:spacing w:before="15" w:after="0" w:line="240" w:lineRule="auto"/>
        <w:ind w:left="1993" w:right="-20"/>
        <w:rPr>
          <w:rFonts w:ascii="Times New Roman" w:eastAsia="Times New Roman" w:hAnsi="Times New Roman" w:cs="Times New Roman"/>
          <w:sz w:val="20"/>
          <w:szCs w:val="20"/>
        </w:rPr>
      </w:pPr>
      <w:r>
        <w:rPr>
          <w:noProof/>
        </w:rPr>
        <w:drawing>
          <wp:inline distT="0" distB="0" distL="0" distR="0" wp14:anchorId="0956C4F6" wp14:editId="60CEBFD2">
            <wp:extent cx="361950" cy="425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950" cy="425450"/>
                    </a:xfrm>
                    <a:prstGeom prst="rect">
                      <a:avLst/>
                    </a:prstGeom>
                    <a:noFill/>
                    <a:ln>
                      <a:noFill/>
                    </a:ln>
                  </pic:spPr>
                </pic:pic>
              </a:graphicData>
            </a:graphic>
          </wp:inline>
        </w:drawing>
      </w:r>
    </w:p>
    <w:p w14:paraId="05F8433D" w14:textId="77777777" w:rsidR="0016022C" w:rsidRDefault="0016022C" w:rsidP="0016022C">
      <w:pPr>
        <w:spacing w:before="10" w:after="0" w:line="120" w:lineRule="exact"/>
        <w:rPr>
          <w:sz w:val="12"/>
          <w:szCs w:val="12"/>
        </w:rPr>
      </w:pPr>
    </w:p>
    <w:p w14:paraId="203824BF" w14:textId="77777777" w:rsidR="0016022C" w:rsidRPr="008B3619" w:rsidRDefault="0016022C" w:rsidP="0016022C">
      <w:pPr>
        <w:spacing w:after="0" w:line="240" w:lineRule="auto"/>
        <w:ind w:left="1892" w:right="-20"/>
        <w:rPr>
          <w:rFonts w:ascii="Garamond" w:eastAsia="Times New Roman" w:hAnsi="Garamond" w:cs="Times New Roman"/>
          <w:sz w:val="31"/>
          <w:szCs w:val="31"/>
        </w:rPr>
      </w:pPr>
      <w:r w:rsidRPr="008B3619">
        <w:rPr>
          <w:rFonts w:ascii="Garamond" w:eastAsia="Times New Roman" w:hAnsi="Garamond" w:cs="Times New Roman"/>
          <w:sz w:val="31"/>
          <w:szCs w:val="31"/>
        </w:rPr>
        <w:t>172</w:t>
      </w:r>
      <w:r w:rsidRPr="008B3619">
        <w:rPr>
          <w:rFonts w:ascii="Garamond" w:eastAsia="Times New Roman" w:hAnsi="Garamond" w:cs="Times New Roman"/>
          <w:spacing w:val="11"/>
          <w:sz w:val="31"/>
          <w:szCs w:val="31"/>
        </w:rPr>
        <w:t xml:space="preserve"> </w:t>
      </w:r>
      <w:r w:rsidR="008B3619" w:rsidRPr="008B3619">
        <w:rPr>
          <w:rFonts w:ascii="Garamond" w:eastAsia="Times New Roman" w:hAnsi="Garamond" w:cs="Times New Roman"/>
          <w:w w:val="102"/>
          <w:sz w:val="31"/>
          <w:szCs w:val="31"/>
        </w:rPr>
        <w:t>feet</w:t>
      </w:r>
    </w:p>
    <w:p w14:paraId="24E685F6" w14:textId="77777777" w:rsidR="0016022C" w:rsidRDefault="0016022C" w:rsidP="0016022C">
      <w:pPr>
        <w:spacing w:before="15" w:after="0" w:line="240" w:lineRule="auto"/>
        <w:ind w:left="2204" w:right="-20"/>
        <w:rPr>
          <w:rFonts w:ascii="Times New Roman" w:eastAsia="Times New Roman" w:hAnsi="Times New Roman" w:cs="Times New Roman"/>
          <w:sz w:val="13"/>
          <w:szCs w:val="13"/>
        </w:rPr>
      </w:pPr>
      <w:r>
        <w:rPr>
          <w:noProof/>
        </w:rPr>
        <w:drawing>
          <wp:inline distT="0" distB="0" distL="0" distR="0" wp14:anchorId="76A1D84E" wp14:editId="39F417FB">
            <wp:extent cx="76200" cy="889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 cy="88900"/>
                    </a:xfrm>
                    <a:prstGeom prst="rect">
                      <a:avLst/>
                    </a:prstGeom>
                    <a:noFill/>
                    <a:ln>
                      <a:noFill/>
                    </a:ln>
                  </pic:spPr>
                </pic:pic>
              </a:graphicData>
            </a:graphic>
          </wp:inline>
        </w:drawing>
      </w:r>
    </w:p>
    <w:p w14:paraId="3AADE84A" w14:textId="77777777" w:rsidR="0016022C" w:rsidRDefault="0016022C" w:rsidP="0016022C">
      <w:pPr>
        <w:spacing w:before="7" w:after="0" w:line="170" w:lineRule="exact"/>
        <w:rPr>
          <w:sz w:val="17"/>
          <w:szCs w:val="17"/>
        </w:rPr>
      </w:pPr>
    </w:p>
    <w:p w14:paraId="3CB52205" w14:textId="77777777" w:rsidR="00A9572B" w:rsidRDefault="0016022C" w:rsidP="00C52230">
      <w:pPr>
        <w:rPr>
          <w:rFonts w:ascii="Garamond" w:hAnsi="Garamond"/>
          <w:sz w:val="26"/>
          <w:szCs w:val="26"/>
        </w:rPr>
      </w:pPr>
      <w:r>
        <w:rPr>
          <w:rFonts w:ascii="Garamond" w:hAnsi="Garamond"/>
          <w:sz w:val="26"/>
          <w:szCs w:val="26"/>
        </w:rPr>
        <w:t xml:space="preserve">This is how Julia Roberts would look at those distances if the page is viewed at a distance of twenty-two inches. </w:t>
      </w:r>
      <w:r w:rsidR="0020614F">
        <w:rPr>
          <w:rFonts w:ascii="Garamond" w:hAnsi="Garamond"/>
          <w:sz w:val="26"/>
          <w:szCs w:val="26"/>
        </w:rPr>
        <w:t xml:space="preserve">So if the evidence against your client was an eyewitness who said he saw something from </w:t>
      </w:r>
      <w:r w:rsidR="00954A2E">
        <w:rPr>
          <w:rFonts w:ascii="Garamond" w:hAnsi="Garamond"/>
          <w:sz w:val="26"/>
          <w:szCs w:val="26"/>
        </w:rPr>
        <w:t>172</w:t>
      </w:r>
      <w:r w:rsidR="0020614F">
        <w:rPr>
          <w:rFonts w:ascii="Garamond" w:hAnsi="Garamond"/>
          <w:sz w:val="26"/>
          <w:szCs w:val="26"/>
        </w:rPr>
        <w:t xml:space="preserve"> feet, </w:t>
      </w:r>
      <w:r w:rsidR="00A9572B">
        <w:rPr>
          <w:rFonts w:ascii="Garamond" w:hAnsi="Garamond"/>
          <w:sz w:val="26"/>
          <w:szCs w:val="26"/>
        </w:rPr>
        <w:t>you can use</w:t>
      </w:r>
      <w:r w:rsidR="0020614F">
        <w:rPr>
          <w:rFonts w:ascii="Garamond" w:hAnsi="Garamond"/>
          <w:sz w:val="26"/>
          <w:szCs w:val="26"/>
        </w:rPr>
        <w:t xml:space="preserve"> this article to show the court what </w:t>
      </w:r>
      <w:r w:rsidR="00954A2E">
        <w:rPr>
          <w:rFonts w:ascii="Garamond" w:hAnsi="Garamond"/>
          <w:sz w:val="26"/>
          <w:szCs w:val="26"/>
        </w:rPr>
        <w:t>someone seen from that distance</w:t>
      </w:r>
      <w:r w:rsidR="0020614F">
        <w:rPr>
          <w:rFonts w:ascii="Garamond" w:hAnsi="Garamond"/>
          <w:sz w:val="26"/>
          <w:szCs w:val="26"/>
        </w:rPr>
        <w:t xml:space="preserve"> would </w:t>
      </w:r>
      <w:r w:rsidR="00A9572B">
        <w:rPr>
          <w:rFonts w:ascii="Garamond" w:hAnsi="Garamond"/>
          <w:sz w:val="26"/>
          <w:szCs w:val="26"/>
        </w:rPr>
        <w:t xml:space="preserve">actually </w:t>
      </w:r>
      <w:r w:rsidR="0020614F">
        <w:rPr>
          <w:rFonts w:ascii="Garamond" w:hAnsi="Garamond"/>
          <w:sz w:val="26"/>
          <w:szCs w:val="26"/>
        </w:rPr>
        <w:t xml:space="preserve">look like. </w:t>
      </w:r>
      <w:r w:rsidR="00A9572B">
        <w:rPr>
          <w:rFonts w:ascii="Garamond" w:hAnsi="Garamond"/>
          <w:sz w:val="26"/>
          <w:szCs w:val="26"/>
        </w:rPr>
        <w:t xml:space="preserve">As in, </w:t>
      </w:r>
      <w:r w:rsidR="00740BC4">
        <w:rPr>
          <w:rFonts w:ascii="Garamond" w:hAnsi="Garamond"/>
          <w:sz w:val="26"/>
          <w:szCs w:val="26"/>
        </w:rPr>
        <w:t>“</w:t>
      </w:r>
      <w:r w:rsidR="00A9572B">
        <w:rPr>
          <w:rFonts w:ascii="Garamond" w:hAnsi="Garamond"/>
          <w:sz w:val="26"/>
          <w:szCs w:val="26"/>
        </w:rPr>
        <w:t xml:space="preserve">Sure, judge, you can try to discount my prejudice argument by relying on the eyewitness ID…but how probative is that ID when you consider what a witness can actually see at </w:t>
      </w:r>
      <w:r w:rsidR="00954A2E">
        <w:rPr>
          <w:rFonts w:ascii="Garamond" w:hAnsi="Garamond"/>
          <w:sz w:val="26"/>
          <w:szCs w:val="26"/>
        </w:rPr>
        <w:t xml:space="preserve">172 </w:t>
      </w:r>
      <w:r w:rsidR="00A9572B">
        <w:rPr>
          <w:rFonts w:ascii="Garamond" w:hAnsi="Garamond"/>
          <w:sz w:val="26"/>
          <w:szCs w:val="26"/>
        </w:rPr>
        <w:t>feet?</w:t>
      </w:r>
      <w:r w:rsidR="00740BC4">
        <w:rPr>
          <w:rFonts w:ascii="Garamond" w:hAnsi="Garamond"/>
          <w:sz w:val="26"/>
          <w:szCs w:val="26"/>
        </w:rPr>
        <w:t>”</w:t>
      </w:r>
      <w:r w:rsidR="00A9572B">
        <w:rPr>
          <w:rFonts w:ascii="Garamond" w:hAnsi="Garamond"/>
          <w:sz w:val="26"/>
          <w:szCs w:val="26"/>
        </w:rPr>
        <w:t xml:space="preserve"> </w:t>
      </w:r>
    </w:p>
    <w:p w14:paraId="0BE6EA11" w14:textId="77777777" w:rsidR="00D37CE8" w:rsidRDefault="0020614F" w:rsidP="00C52230">
      <w:pPr>
        <w:rPr>
          <w:rFonts w:ascii="Garamond" w:hAnsi="Garamond"/>
          <w:sz w:val="26"/>
          <w:szCs w:val="26"/>
        </w:rPr>
      </w:pPr>
      <w:r>
        <w:rPr>
          <w:rFonts w:ascii="Garamond" w:hAnsi="Garamond"/>
          <w:sz w:val="26"/>
          <w:szCs w:val="26"/>
        </w:rPr>
        <w:t>Would this be improper? No! You</w:t>
      </w:r>
      <w:r w:rsidR="00740BC4">
        <w:rPr>
          <w:rFonts w:ascii="Garamond" w:hAnsi="Garamond"/>
          <w:sz w:val="26"/>
          <w:szCs w:val="26"/>
        </w:rPr>
        <w:t>’</w:t>
      </w:r>
      <w:r>
        <w:rPr>
          <w:rFonts w:ascii="Garamond" w:hAnsi="Garamond"/>
          <w:sz w:val="26"/>
          <w:szCs w:val="26"/>
        </w:rPr>
        <w:t>re just doing what you would normally do, which is attacking the probative value of the state</w:t>
      </w:r>
      <w:r w:rsidR="00740BC4">
        <w:rPr>
          <w:rFonts w:ascii="Garamond" w:hAnsi="Garamond"/>
          <w:sz w:val="26"/>
          <w:szCs w:val="26"/>
        </w:rPr>
        <w:t>’</w:t>
      </w:r>
      <w:r>
        <w:rPr>
          <w:rFonts w:ascii="Garamond" w:hAnsi="Garamond"/>
          <w:sz w:val="26"/>
          <w:szCs w:val="26"/>
        </w:rPr>
        <w:t xml:space="preserve">s evidence. You might ordinarily say, </w:t>
      </w:r>
      <w:r w:rsidR="00740BC4">
        <w:rPr>
          <w:rFonts w:ascii="Garamond" w:hAnsi="Garamond"/>
          <w:sz w:val="26"/>
          <w:szCs w:val="26"/>
        </w:rPr>
        <w:t>“</w:t>
      </w:r>
      <w:r>
        <w:rPr>
          <w:rFonts w:ascii="Garamond" w:hAnsi="Garamond"/>
          <w:sz w:val="26"/>
          <w:szCs w:val="26"/>
        </w:rPr>
        <w:t xml:space="preserve">While the </w:t>
      </w:r>
      <w:r>
        <w:rPr>
          <w:rFonts w:ascii="Garamond" w:hAnsi="Garamond"/>
          <w:sz w:val="26"/>
          <w:szCs w:val="26"/>
        </w:rPr>
        <w:lastRenderedPageBreak/>
        <w:t xml:space="preserve">eyewitness did identify </w:t>
      </w:r>
      <w:r w:rsidR="00664451">
        <w:rPr>
          <w:rFonts w:ascii="Garamond" w:hAnsi="Garamond"/>
          <w:sz w:val="26"/>
          <w:szCs w:val="26"/>
        </w:rPr>
        <w:t>appellant</w:t>
      </w:r>
      <w:r>
        <w:rPr>
          <w:rFonts w:ascii="Garamond" w:hAnsi="Garamond"/>
          <w:sz w:val="26"/>
          <w:szCs w:val="26"/>
        </w:rPr>
        <w:t xml:space="preserve"> as the robber, the identification was from a hundred feet away and it was therefore not very probative.</w:t>
      </w:r>
      <w:r w:rsidR="00740BC4">
        <w:rPr>
          <w:rFonts w:ascii="Garamond" w:hAnsi="Garamond"/>
          <w:sz w:val="26"/>
          <w:szCs w:val="26"/>
        </w:rPr>
        <w:t>”</w:t>
      </w:r>
      <w:r>
        <w:rPr>
          <w:rFonts w:ascii="Garamond" w:hAnsi="Garamond"/>
          <w:sz w:val="26"/>
          <w:szCs w:val="26"/>
        </w:rPr>
        <w:t xml:space="preserve"> Now you can add, </w:t>
      </w:r>
      <w:r w:rsidR="00740BC4">
        <w:rPr>
          <w:rFonts w:ascii="Garamond" w:hAnsi="Garamond"/>
          <w:sz w:val="26"/>
          <w:szCs w:val="26"/>
        </w:rPr>
        <w:t>“</w:t>
      </w:r>
      <w:r>
        <w:rPr>
          <w:rFonts w:ascii="Garamond" w:hAnsi="Garamond"/>
          <w:sz w:val="26"/>
          <w:szCs w:val="26"/>
        </w:rPr>
        <w:t>It was not very probative, because as the court can see, a face viewed from one hundred feet away is hardly visible to the naked eye</w:t>
      </w:r>
      <w:r w:rsidR="008F7508">
        <w:rPr>
          <w:rFonts w:ascii="Garamond" w:hAnsi="Garamond"/>
          <w:sz w:val="26"/>
          <w:szCs w:val="26"/>
        </w:rPr>
        <w:t>.</w:t>
      </w:r>
      <w:r w:rsidR="00740BC4">
        <w:rPr>
          <w:rFonts w:ascii="Garamond" w:hAnsi="Garamond"/>
          <w:sz w:val="26"/>
          <w:szCs w:val="26"/>
        </w:rPr>
        <w:t>”</w:t>
      </w:r>
      <w:r>
        <w:rPr>
          <w:rFonts w:ascii="Garamond" w:hAnsi="Garamond"/>
          <w:sz w:val="26"/>
          <w:szCs w:val="26"/>
        </w:rPr>
        <w:t xml:space="preserve"> You can take this approach with any of the articles cited in the footnotes here.</w:t>
      </w:r>
      <w:r w:rsidR="00661DB3">
        <w:rPr>
          <w:rStyle w:val="FootnoteReference"/>
          <w:rFonts w:ascii="Garamond" w:hAnsi="Garamond"/>
          <w:sz w:val="26"/>
          <w:szCs w:val="26"/>
        </w:rPr>
        <w:footnoteReference w:id="20"/>
      </w:r>
    </w:p>
    <w:p w14:paraId="34AE5642" w14:textId="77777777" w:rsidR="0020614F" w:rsidRDefault="0020614F" w:rsidP="00C52230">
      <w:pPr>
        <w:rPr>
          <w:rFonts w:ascii="Garamond" w:hAnsi="Garamond"/>
          <w:sz w:val="26"/>
          <w:szCs w:val="26"/>
        </w:rPr>
      </w:pPr>
      <w:r>
        <w:rPr>
          <w:rFonts w:ascii="Garamond" w:hAnsi="Garamond"/>
          <w:sz w:val="26"/>
          <w:szCs w:val="26"/>
        </w:rPr>
        <w:t xml:space="preserve">The second thing we can do is to specifically attack in-court identifications. </w:t>
      </w:r>
      <w:r w:rsidR="00D90E62">
        <w:rPr>
          <w:rFonts w:ascii="Garamond" w:hAnsi="Garamond"/>
          <w:sz w:val="26"/>
          <w:szCs w:val="26"/>
        </w:rPr>
        <w:t>This will likely require objections from trial counsel, but multiple courts across the country have banned in-court identifications that were not preceded by a non-suggestive out-of-court identification.</w:t>
      </w:r>
      <w:r w:rsidR="00D90E62">
        <w:rPr>
          <w:rStyle w:val="FootnoteReference"/>
          <w:rFonts w:ascii="Garamond" w:hAnsi="Garamond"/>
          <w:sz w:val="26"/>
          <w:szCs w:val="26"/>
        </w:rPr>
        <w:footnoteReference w:id="21"/>
      </w:r>
      <w:r w:rsidR="00D90E62">
        <w:rPr>
          <w:rFonts w:ascii="Garamond" w:hAnsi="Garamond"/>
          <w:sz w:val="26"/>
          <w:szCs w:val="26"/>
        </w:rPr>
        <w:t xml:space="preserve"> </w:t>
      </w:r>
      <w:r w:rsidR="00BA203B">
        <w:rPr>
          <w:rFonts w:ascii="Garamond" w:hAnsi="Garamond"/>
          <w:sz w:val="26"/>
          <w:szCs w:val="26"/>
        </w:rPr>
        <w:t>Two of</w:t>
      </w:r>
      <w:r w:rsidR="00D90E62">
        <w:rPr>
          <w:rFonts w:ascii="Garamond" w:hAnsi="Garamond"/>
          <w:sz w:val="26"/>
          <w:szCs w:val="26"/>
        </w:rPr>
        <w:t xml:space="preserve"> these courts relied on a law review article </w:t>
      </w:r>
      <w:r w:rsidR="00BA203B">
        <w:rPr>
          <w:rFonts w:ascii="Garamond" w:hAnsi="Garamond"/>
          <w:sz w:val="26"/>
          <w:szCs w:val="26"/>
        </w:rPr>
        <w:t xml:space="preserve">that used the scientific research on eyewitness identifications to show the inherent suggestiveness of in-court identifications. The courts (after the defense attorneys made the arguments) then found that in-court identifications, which are in fact inherently suggestive, violate due process if they have not been preceded by a non-suggestive out-of-court identification. This may be an area we could push in California. </w:t>
      </w:r>
      <w:r w:rsidR="00932E2A">
        <w:rPr>
          <w:rFonts w:ascii="Garamond" w:hAnsi="Garamond"/>
          <w:sz w:val="26"/>
          <w:szCs w:val="26"/>
        </w:rPr>
        <w:t xml:space="preserve">And in any case, eyewitness-identification litigation can provide a model for how to tackle other areas of the law using social science. </w:t>
      </w:r>
    </w:p>
    <w:p w14:paraId="1F2FF1C7" w14:textId="77777777" w:rsidR="00E66049" w:rsidRPr="00B959B8" w:rsidRDefault="00E66049" w:rsidP="00724C3A">
      <w:pPr>
        <w:pStyle w:val="ListParagraph"/>
        <w:numPr>
          <w:ilvl w:val="0"/>
          <w:numId w:val="1"/>
        </w:numPr>
        <w:ind w:left="720"/>
        <w:rPr>
          <w:rFonts w:ascii="Garamond" w:hAnsi="Garamond"/>
          <w:b/>
          <w:sz w:val="26"/>
          <w:szCs w:val="26"/>
        </w:rPr>
      </w:pPr>
      <w:r w:rsidRPr="00B959B8">
        <w:rPr>
          <w:rFonts w:ascii="Garamond" w:hAnsi="Garamond"/>
          <w:b/>
          <w:sz w:val="26"/>
          <w:szCs w:val="26"/>
        </w:rPr>
        <w:t>The reasonable-person standard</w:t>
      </w:r>
    </w:p>
    <w:p w14:paraId="0D5B23EE" w14:textId="77777777" w:rsidR="00E66049" w:rsidRDefault="00726326" w:rsidP="00C52230">
      <w:pPr>
        <w:rPr>
          <w:rFonts w:ascii="Garamond" w:hAnsi="Garamond"/>
          <w:sz w:val="26"/>
          <w:szCs w:val="26"/>
        </w:rPr>
      </w:pPr>
      <w:r>
        <w:rPr>
          <w:rFonts w:ascii="Garamond" w:hAnsi="Garamond"/>
          <w:sz w:val="26"/>
          <w:szCs w:val="26"/>
        </w:rPr>
        <w:t xml:space="preserve">One time, the Supreme Court was hearing argument in a Fourth Amendment case. The issue was how long the police could hold someone </w:t>
      </w:r>
      <w:r w:rsidR="00664451">
        <w:rPr>
          <w:rFonts w:ascii="Garamond" w:hAnsi="Garamond"/>
          <w:sz w:val="26"/>
          <w:szCs w:val="26"/>
        </w:rPr>
        <w:t xml:space="preserve">during a traffic stop </w:t>
      </w:r>
      <w:r>
        <w:rPr>
          <w:rFonts w:ascii="Garamond" w:hAnsi="Garamond"/>
          <w:sz w:val="26"/>
          <w:szCs w:val="26"/>
        </w:rPr>
        <w:t>while they waited for the drug dogs</w:t>
      </w:r>
      <w:r w:rsidR="00664451">
        <w:rPr>
          <w:rFonts w:ascii="Garamond" w:hAnsi="Garamond"/>
          <w:sz w:val="26"/>
          <w:szCs w:val="26"/>
        </w:rPr>
        <w:t xml:space="preserve"> to arrive</w:t>
      </w:r>
      <w:r>
        <w:rPr>
          <w:rFonts w:ascii="Garamond" w:hAnsi="Garamond"/>
          <w:sz w:val="26"/>
          <w:szCs w:val="26"/>
        </w:rPr>
        <w:t xml:space="preserve">. And during argument, Chief Justice Roberts made a bit of a gaff </w:t>
      </w:r>
      <w:r w:rsidR="00664451">
        <w:rPr>
          <w:rFonts w:ascii="Garamond" w:hAnsi="Garamond"/>
          <w:sz w:val="26"/>
          <w:szCs w:val="26"/>
        </w:rPr>
        <w:t>by revealing</w:t>
      </w:r>
      <w:r>
        <w:rPr>
          <w:rFonts w:ascii="Garamond" w:hAnsi="Garamond"/>
          <w:sz w:val="26"/>
          <w:szCs w:val="26"/>
        </w:rPr>
        <w:t xml:space="preserve"> that he himself had never been pulled over by the police. He said:</w:t>
      </w:r>
    </w:p>
    <w:p w14:paraId="7C7E239F" w14:textId="77777777" w:rsidR="00726326" w:rsidRDefault="00726326" w:rsidP="00726326">
      <w:pPr>
        <w:ind w:left="720"/>
        <w:rPr>
          <w:rFonts w:ascii="Garamond" w:hAnsi="Garamond"/>
          <w:sz w:val="26"/>
          <w:szCs w:val="26"/>
        </w:rPr>
      </w:pPr>
      <w:r w:rsidRPr="00726326">
        <w:rPr>
          <w:rFonts w:ascii="Garamond" w:hAnsi="Garamond"/>
          <w:sz w:val="26"/>
          <w:szCs w:val="26"/>
        </w:rPr>
        <w:t>You may have answered this already, but I</w:t>
      </w:r>
      <w:r w:rsidR="00740BC4">
        <w:rPr>
          <w:rFonts w:ascii="Garamond" w:hAnsi="Garamond"/>
          <w:sz w:val="26"/>
          <w:szCs w:val="26"/>
        </w:rPr>
        <w:t>’</w:t>
      </w:r>
      <w:r w:rsidRPr="00726326">
        <w:rPr>
          <w:rFonts w:ascii="Garamond" w:hAnsi="Garamond"/>
          <w:sz w:val="26"/>
          <w:szCs w:val="26"/>
        </w:rPr>
        <w:t>m not sure.</w:t>
      </w:r>
      <w:r>
        <w:rPr>
          <w:rFonts w:ascii="Garamond" w:hAnsi="Garamond"/>
          <w:sz w:val="26"/>
          <w:szCs w:val="26"/>
        </w:rPr>
        <w:t xml:space="preserve"> </w:t>
      </w:r>
      <w:r w:rsidRPr="00726326">
        <w:rPr>
          <w:rFonts w:ascii="Garamond" w:hAnsi="Garamond"/>
          <w:sz w:val="26"/>
          <w:szCs w:val="26"/>
        </w:rPr>
        <w:t xml:space="preserve">Can </w:t>
      </w:r>
      <w:r>
        <w:rPr>
          <w:rFonts w:ascii="Garamond" w:hAnsi="Garamond"/>
          <w:sz w:val="26"/>
          <w:szCs w:val="26"/>
        </w:rPr>
        <w:t>[the officer]</w:t>
      </w:r>
      <w:r w:rsidRPr="00726326">
        <w:rPr>
          <w:rFonts w:ascii="Garamond" w:hAnsi="Garamond"/>
          <w:sz w:val="26"/>
          <w:szCs w:val="26"/>
        </w:rPr>
        <w:t xml:space="preserve"> ask for the registration?</w:t>
      </w:r>
      <w:r>
        <w:rPr>
          <w:rFonts w:ascii="Garamond" w:hAnsi="Garamond"/>
          <w:sz w:val="26"/>
          <w:szCs w:val="26"/>
        </w:rPr>
        <w:t xml:space="preserve"> </w:t>
      </w:r>
      <w:r w:rsidRPr="00726326">
        <w:rPr>
          <w:rFonts w:ascii="Garamond" w:hAnsi="Garamond"/>
          <w:sz w:val="26"/>
          <w:szCs w:val="26"/>
        </w:rPr>
        <w:t>Usually, people have told me, when you</w:t>
      </w:r>
      <w:r w:rsidR="00740BC4">
        <w:rPr>
          <w:rFonts w:ascii="Garamond" w:hAnsi="Garamond"/>
          <w:sz w:val="26"/>
          <w:szCs w:val="26"/>
        </w:rPr>
        <w:t>’</w:t>
      </w:r>
      <w:r w:rsidRPr="00726326">
        <w:rPr>
          <w:rFonts w:ascii="Garamond" w:hAnsi="Garamond"/>
          <w:sz w:val="26"/>
          <w:szCs w:val="26"/>
        </w:rPr>
        <w:t>re stopped, the officer says, License and registration.</w:t>
      </w:r>
      <w:r w:rsidR="00740BC4">
        <w:rPr>
          <w:rStyle w:val="FootnoteReference"/>
          <w:rFonts w:ascii="Garamond" w:hAnsi="Garamond"/>
          <w:sz w:val="26"/>
          <w:szCs w:val="26"/>
        </w:rPr>
        <w:footnoteReference w:id="22"/>
      </w:r>
    </w:p>
    <w:p w14:paraId="0E297384" w14:textId="77777777" w:rsidR="00726326" w:rsidRDefault="00726326" w:rsidP="00726326">
      <w:pPr>
        <w:rPr>
          <w:rFonts w:ascii="Garamond" w:hAnsi="Garamond"/>
          <w:sz w:val="26"/>
          <w:szCs w:val="26"/>
        </w:rPr>
      </w:pPr>
      <w:r>
        <w:rPr>
          <w:rFonts w:ascii="Garamond" w:hAnsi="Garamond"/>
          <w:sz w:val="26"/>
          <w:szCs w:val="26"/>
        </w:rPr>
        <w:t>Laughter ensued.</w:t>
      </w:r>
      <w:r w:rsidR="00740BC4">
        <w:rPr>
          <w:rStyle w:val="FootnoteReference"/>
          <w:rFonts w:ascii="Garamond" w:hAnsi="Garamond"/>
          <w:sz w:val="26"/>
          <w:szCs w:val="26"/>
        </w:rPr>
        <w:footnoteReference w:id="23"/>
      </w:r>
      <w:r>
        <w:rPr>
          <w:rFonts w:ascii="Garamond" w:hAnsi="Garamond"/>
          <w:sz w:val="26"/>
          <w:szCs w:val="26"/>
        </w:rPr>
        <w:t xml:space="preserve"> </w:t>
      </w:r>
    </w:p>
    <w:p w14:paraId="67414007" w14:textId="77777777" w:rsidR="00726326" w:rsidRDefault="00726326" w:rsidP="00726326">
      <w:pPr>
        <w:ind w:left="720"/>
        <w:rPr>
          <w:rFonts w:ascii="Garamond" w:hAnsi="Garamond"/>
          <w:sz w:val="26"/>
          <w:szCs w:val="26"/>
        </w:rPr>
      </w:pPr>
      <w:r w:rsidRPr="00726326">
        <w:rPr>
          <w:rFonts w:ascii="Garamond" w:hAnsi="Garamond"/>
          <w:i/>
          <w:sz w:val="26"/>
          <w:szCs w:val="26"/>
        </w:rPr>
        <w:lastRenderedPageBreak/>
        <w:t xml:space="preserve">Har har, </w:t>
      </w:r>
      <w:r w:rsidR="00B959B8">
        <w:rPr>
          <w:rFonts w:ascii="Garamond" w:hAnsi="Garamond"/>
          <w:i/>
          <w:sz w:val="26"/>
          <w:szCs w:val="26"/>
        </w:rPr>
        <w:t>the Chief Justice has never had a bad interaction with the police</w:t>
      </w:r>
      <w:r w:rsidRPr="00726326">
        <w:rPr>
          <w:rFonts w:ascii="Garamond" w:hAnsi="Garamond"/>
          <w:i/>
          <w:sz w:val="26"/>
          <w:szCs w:val="26"/>
        </w:rPr>
        <w:t>! Classic!</w:t>
      </w:r>
    </w:p>
    <w:p w14:paraId="4D424BC5" w14:textId="77777777" w:rsidR="00726326" w:rsidRDefault="00B5708C" w:rsidP="00144DF5">
      <w:pPr>
        <w:rPr>
          <w:rFonts w:ascii="Garamond" w:hAnsi="Garamond"/>
          <w:sz w:val="26"/>
          <w:szCs w:val="26"/>
        </w:rPr>
      </w:pPr>
      <w:r>
        <w:rPr>
          <w:rFonts w:ascii="Garamond" w:hAnsi="Garamond"/>
          <w:sz w:val="26"/>
          <w:szCs w:val="26"/>
        </w:rPr>
        <w:t>And sure, it</w:t>
      </w:r>
      <w:r w:rsidR="00740BC4">
        <w:rPr>
          <w:rFonts w:ascii="Garamond" w:hAnsi="Garamond"/>
          <w:sz w:val="26"/>
          <w:szCs w:val="26"/>
        </w:rPr>
        <w:t>’</w:t>
      </w:r>
      <w:r>
        <w:rPr>
          <w:rFonts w:ascii="Garamond" w:hAnsi="Garamond"/>
          <w:sz w:val="26"/>
          <w:szCs w:val="26"/>
        </w:rPr>
        <w:t>s sort of</w:t>
      </w:r>
      <w:r w:rsidR="00726326">
        <w:rPr>
          <w:rFonts w:ascii="Garamond" w:hAnsi="Garamond"/>
          <w:sz w:val="26"/>
          <w:szCs w:val="26"/>
        </w:rPr>
        <w:t xml:space="preserve"> funny. Until you realize </w:t>
      </w:r>
      <w:r w:rsidR="00954A2E">
        <w:rPr>
          <w:rFonts w:ascii="Garamond" w:hAnsi="Garamond"/>
          <w:sz w:val="26"/>
          <w:szCs w:val="26"/>
        </w:rPr>
        <w:t>that</w:t>
      </w:r>
      <w:r w:rsidR="00726326">
        <w:rPr>
          <w:rFonts w:ascii="Garamond" w:hAnsi="Garamond"/>
          <w:sz w:val="26"/>
          <w:szCs w:val="26"/>
        </w:rPr>
        <w:t xml:space="preserve"> Fourth Amendment jurisprudence comes down to the hunches of a bunch of overeducated white guys, most of whom have fede</w:t>
      </w:r>
      <w:r w:rsidR="00664451">
        <w:rPr>
          <w:rFonts w:ascii="Garamond" w:hAnsi="Garamond"/>
          <w:sz w:val="26"/>
          <w:szCs w:val="26"/>
        </w:rPr>
        <w:t xml:space="preserve">ral law enforcement experience but </w:t>
      </w:r>
      <w:r w:rsidR="00726326">
        <w:rPr>
          <w:rFonts w:ascii="Garamond" w:hAnsi="Garamond"/>
          <w:sz w:val="26"/>
          <w:szCs w:val="26"/>
        </w:rPr>
        <w:t xml:space="preserve">few of whom have ever had to represent a client in court. Then you think, </w:t>
      </w:r>
      <w:r w:rsidR="00740BC4">
        <w:rPr>
          <w:rFonts w:ascii="Garamond" w:hAnsi="Garamond"/>
          <w:sz w:val="26"/>
          <w:szCs w:val="26"/>
        </w:rPr>
        <w:t>“</w:t>
      </w:r>
      <w:r w:rsidR="00726326">
        <w:rPr>
          <w:rFonts w:ascii="Garamond" w:hAnsi="Garamond"/>
          <w:sz w:val="26"/>
          <w:szCs w:val="26"/>
        </w:rPr>
        <w:t>Yeah, this explains a lot about the criminal justice system.</w:t>
      </w:r>
      <w:r w:rsidR="00740BC4">
        <w:rPr>
          <w:rFonts w:ascii="Garamond" w:hAnsi="Garamond"/>
          <w:sz w:val="26"/>
          <w:szCs w:val="26"/>
        </w:rPr>
        <w:t>”</w:t>
      </w:r>
      <w:r w:rsidR="00726326">
        <w:rPr>
          <w:rFonts w:ascii="Garamond" w:hAnsi="Garamond"/>
          <w:sz w:val="26"/>
          <w:szCs w:val="26"/>
        </w:rPr>
        <w:t xml:space="preserve"> </w:t>
      </w:r>
    </w:p>
    <w:p w14:paraId="0361AEBE" w14:textId="77777777" w:rsidR="00726326" w:rsidRDefault="001803B6" w:rsidP="00144DF5">
      <w:pPr>
        <w:rPr>
          <w:rFonts w:ascii="Garamond" w:hAnsi="Garamond"/>
          <w:sz w:val="26"/>
          <w:szCs w:val="26"/>
        </w:rPr>
      </w:pPr>
      <w:r>
        <w:rPr>
          <w:rFonts w:ascii="Garamond" w:hAnsi="Garamond"/>
          <w:sz w:val="26"/>
          <w:szCs w:val="26"/>
        </w:rPr>
        <w:t xml:space="preserve">In any case, the Fourth Amendment and the reasonable-person standard in particular </w:t>
      </w:r>
      <w:r w:rsidR="00954A2E">
        <w:rPr>
          <w:rFonts w:ascii="Garamond" w:hAnsi="Garamond"/>
          <w:sz w:val="26"/>
          <w:szCs w:val="26"/>
        </w:rPr>
        <w:t>are</w:t>
      </w:r>
      <w:r>
        <w:rPr>
          <w:rFonts w:ascii="Garamond" w:hAnsi="Garamond"/>
          <w:sz w:val="26"/>
          <w:szCs w:val="26"/>
        </w:rPr>
        <w:t xml:space="preserve"> area</w:t>
      </w:r>
      <w:r w:rsidR="00954A2E">
        <w:rPr>
          <w:rFonts w:ascii="Garamond" w:hAnsi="Garamond"/>
          <w:sz w:val="26"/>
          <w:szCs w:val="26"/>
        </w:rPr>
        <w:t>s</w:t>
      </w:r>
      <w:r>
        <w:rPr>
          <w:rFonts w:ascii="Garamond" w:hAnsi="Garamond"/>
          <w:sz w:val="26"/>
          <w:szCs w:val="26"/>
        </w:rPr>
        <w:t xml:space="preserve"> ripe for arguments based on actual data. And courts have shown themselves to be at least somewhat amenable to hearing them. At the Supreme Court, for instance, in oral argument for </w:t>
      </w:r>
      <w:r w:rsidRPr="00740BC4">
        <w:rPr>
          <w:rFonts w:ascii="Garamond" w:hAnsi="Garamond"/>
          <w:i/>
          <w:sz w:val="26"/>
          <w:szCs w:val="26"/>
        </w:rPr>
        <w:t>Brendlin v. California</w:t>
      </w:r>
      <w:r w:rsidR="00740BC4">
        <w:rPr>
          <w:rFonts w:ascii="Garamond" w:hAnsi="Garamond"/>
          <w:sz w:val="26"/>
          <w:szCs w:val="26"/>
        </w:rPr>
        <w:t xml:space="preserve"> (2007) </w:t>
      </w:r>
      <w:r w:rsidR="00740BC4" w:rsidRPr="00740BC4">
        <w:rPr>
          <w:rFonts w:ascii="Garamond" w:hAnsi="Garamond"/>
          <w:sz w:val="26"/>
          <w:szCs w:val="26"/>
        </w:rPr>
        <w:t>551 U.S. 249</w:t>
      </w:r>
      <w:r>
        <w:rPr>
          <w:rFonts w:ascii="Garamond" w:hAnsi="Garamond"/>
          <w:sz w:val="26"/>
          <w:szCs w:val="26"/>
        </w:rPr>
        <w:t xml:space="preserve"> in </w:t>
      </w:r>
      <w:r w:rsidR="00740BC4">
        <w:rPr>
          <w:rFonts w:ascii="Garamond" w:hAnsi="Garamond"/>
          <w:sz w:val="26"/>
          <w:szCs w:val="26"/>
        </w:rPr>
        <w:t>2007</w:t>
      </w:r>
      <w:r>
        <w:rPr>
          <w:rFonts w:ascii="Garamond" w:hAnsi="Garamond"/>
          <w:sz w:val="26"/>
          <w:szCs w:val="26"/>
        </w:rPr>
        <w:t xml:space="preserve">, Justices Breyer and Scalia </w:t>
      </w:r>
      <w:r w:rsidR="00740BC4">
        <w:rPr>
          <w:rFonts w:ascii="Garamond" w:hAnsi="Garamond"/>
          <w:sz w:val="26"/>
          <w:szCs w:val="26"/>
        </w:rPr>
        <w:t>said the following</w:t>
      </w:r>
      <w:r>
        <w:rPr>
          <w:rFonts w:ascii="Garamond" w:hAnsi="Garamond"/>
          <w:sz w:val="26"/>
          <w:szCs w:val="26"/>
        </w:rPr>
        <w:t>:</w:t>
      </w:r>
    </w:p>
    <w:p w14:paraId="55797142" w14:textId="77777777" w:rsidR="001803B6" w:rsidRDefault="001803B6" w:rsidP="001803B6">
      <w:pPr>
        <w:ind w:left="720"/>
        <w:rPr>
          <w:rFonts w:ascii="Garamond" w:hAnsi="Garamond"/>
          <w:sz w:val="26"/>
          <w:szCs w:val="26"/>
        </w:rPr>
      </w:pPr>
      <w:r>
        <w:rPr>
          <w:rFonts w:ascii="Garamond" w:hAnsi="Garamond"/>
          <w:sz w:val="26"/>
          <w:szCs w:val="26"/>
        </w:rPr>
        <w:t xml:space="preserve">Breyer: </w:t>
      </w:r>
      <w:r w:rsidRPr="001803B6">
        <w:rPr>
          <w:rFonts w:ascii="Garamond" w:hAnsi="Garamond"/>
          <w:sz w:val="26"/>
          <w:szCs w:val="26"/>
        </w:rPr>
        <w:t>So what do we do if we don</w:t>
      </w:r>
      <w:r w:rsidR="00740BC4">
        <w:rPr>
          <w:rFonts w:ascii="Garamond" w:hAnsi="Garamond"/>
          <w:sz w:val="26"/>
          <w:szCs w:val="26"/>
        </w:rPr>
        <w:t>’</w:t>
      </w:r>
      <w:r w:rsidRPr="001803B6">
        <w:rPr>
          <w:rFonts w:ascii="Garamond" w:hAnsi="Garamond"/>
          <w:sz w:val="26"/>
          <w:szCs w:val="26"/>
        </w:rPr>
        <w:t>t know? I can follow my instinct. My instinct is he would feel he wasn</w:t>
      </w:r>
      <w:r w:rsidR="00740BC4">
        <w:rPr>
          <w:rFonts w:ascii="Garamond" w:hAnsi="Garamond"/>
          <w:sz w:val="26"/>
          <w:szCs w:val="26"/>
        </w:rPr>
        <w:t>’</w:t>
      </w:r>
      <w:r w:rsidRPr="001803B6">
        <w:rPr>
          <w:rFonts w:ascii="Garamond" w:hAnsi="Garamond"/>
          <w:sz w:val="26"/>
          <w:szCs w:val="26"/>
        </w:rPr>
        <w:t>t free because the red light</w:t>
      </w:r>
      <w:r w:rsidR="00740BC4">
        <w:rPr>
          <w:rFonts w:ascii="Garamond" w:hAnsi="Garamond"/>
          <w:sz w:val="26"/>
          <w:szCs w:val="26"/>
        </w:rPr>
        <w:t>’</w:t>
      </w:r>
      <w:r w:rsidRPr="001803B6">
        <w:rPr>
          <w:rFonts w:ascii="Garamond" w:hAnsi="Garamond"/>
          <w:sz w:val="26"/>
          <w:szCs w:val="26"/>
        </w:rPr>
        <w:t>s flashing. That</w:t>
      </w:r>
      <w:r w:rsidR="00740BC4">
        <w:rPr>
          <w:rFonts w:ascii="Garamond" w:hAnsi="Garamond"/>
          <w:sz w:val="26"/>
          <w:szCs w:val="26"/>
        </w:rPr>
        <w:t>’</w:t>
      </w:r>
      <w:r w:rsidRPr="001803B6">
        <w:rPr>
          <w:rFonts w:ascii="Garamond" w:hAnsi="Garamond"/>
          <w:sz w:val="26"/>
          <w:szCs w:val="26"/>
        </w:rPr>
        <w:t>s just one person</w:t>
      </w:r>
      <w:r w:rsidR="00740BC4">
        <w:rPr>
          <w:rFonts w:ascii="Garamond" w:hAnsi="Garamond"/>
          <w:sz w:val="26"/>
          <w:szCs w:val="26"/>
        </w:rPr>
        <w:t>’</w:t>
      </w:r>
      <w:r w:rsidRPr="001803B6">
        <w:rPr>
          <w:rFonts w:ascii="Garamond" w:hAnsi="Garamond"/>
          <w:sz w:val="26"/>
          <w:szCs w:val="26"/>
        </w:rPr>
        <w:t>s instinct. Or I could say, let</w:t>
      </w:r>
      <w:r w:rsidR="00740BC4">
        <w:rPr>
          <w:rFonts w:ascii="Garamond" w:hAnsi="Garamond"/>
          <w:sz w:val="26"/>
          <w:szCs w:val="26"/>
        </w:rPr>
        <w:t>’</w:t>
      </w:r>
      <w:r w:rsidRPr="001803B6">
        <w:rPr>
          <w:rFonts w:ascii="Garamond" w:hAnsi="Garamond"/>
          <w:sz w:val="26"/>
          <w:szCs w:val="26"/>
        </w:rPr>
        <w:t>s look for some studies. They could have asked people about this, and there are none … . What should I do? … Look for more studies?</w:t>
      </w:r>
    </w:p>
    <w:p w14:paraId="2EFAE0B2" w14:textId="77777777" w:rsidR="00740BC4" w:rsidRPr="001803B6" w:rsidRDefault="00740BC4" w:rsidP="001803B6">
      <w:pPr>
        <w:ind w:left="720"/>
        <w:rPr>
          <w:rFonts w:ascii="Garamond" w:hAnsi="Garamond"/>
          <w:sz w:val="26"/>
          <w:szCs w:val="26"/>
        </w:rPr>
      </w:pPr>
      <w:r>
        <w:rPr>
          <w:rFonts w:ascii="Garamond" w:hAnsi="Garamond"/>
          <w:sz w:val="26"/>
          <w:szCs w:val="26"/>
        </w:rPr>
        <w:t>…</w:t>
      </w:r>
    </w:p>
    <w:p w14:paraId="698ADFD5" w14:textId="77777777" w:rsidR="001803B6" w:rsidRDefault="001803B6" w:rsidP="001803B6">
      <w:pPr>
        <w:ind w:firstLine="720"/>
        <w:rPr>
          <w:rFonts w:ascii="Garamond" w:hAnsi="Garamond"/>
          <w:sz w:val="26"/>
          <w:szCs w:val="26"/>
        </w:rPr>
      </w:pPr>
      <w:r>
        <w:rPr>
          <w:rFonts w:ascii="Garamond" w:hAnsi="Garamond"/>
          <w:sz w:val="26"/>
          <w:szCs w:val="26"/>
        </w:rPr>
        <w:t xml:space="preserve">Scalia: </w:t>
      </w:r>
      <w:r w:rsidRPr="001803B6">
        <w:rPr>
          <w:rFonts w:ascii="Garamond" w:hAnsi="Garamond"/>
          <w:sz w:val="26"/>
          <w:szCs w:val="26"/>
        </w:rPr>
        <w:t>Maybe we can just pass until the studies are done?</w:t>
      </w:r>
      <w:r w:rsidR="00740BC4">
        <w:rPr>
          <w:rStyle w:val="FootnoteReference"/>
          <w:rFonts w:ascii="Garamond" w:hAnsi="Garamond"/>
          <w:sz w:val="26"/>
          <w:szCs w:val="26"/>
        </w:rPr>
        <w:footnoteReference w:id="24"/>
      </w:r>
    </w:p>
    <w:p w14:paraId="0FB9E00C" w14:textId="77777777" w:rsidR="001803B6" w:rsidRDefault="001803B6" w:rsidP="00144DF5">
      <w:pPr>
        <w:rPr>
          <w:rFonts w:ascii="Garamond" w:hAnsi="Garamond"/>
          <w:sz w:val="26"/>
          <w:szCs w:val="26"/>
        </w:rPr>
      </w:pPr>
      <w:r>
        <w:rPr>
          <w:rFonts w:ascii="Garamond" w:hAnsi="Garamond"/>
          <w:sz w:val="26"/>
          <w:szCs w:val="26"/>
        </w:rPr>
        <w:t>They didn</w:t>
      </w:r>
      <w:r w:rsidR="00740BC4">
        <w:rPr>
          <w:rFonts w:ascii="Garamond" w:hAnsi="Garamond"/>
          <w:sz w:val="26"/>
          <w:szCs w:val="26"/>
        </w:rPr>
        <w:t>’</w:t>
      </w:r>
      <w:r>
        <w:rPr>
          <w:rFonts w:ascii="Garamond" w:hAnsi="Garamond"/>
          <w:sz w:val="26"/>
          <w:szCs w:val="26"/>
        </w:rPr>
        <w:t xml:space="preserve">t pass it until more studies were done (though they did come out the right way in </w:t>
      </w:r>
      <w:r w:rsidRPr="001803B6">
        <w:rPr>
          <w:rFonts w:ascii="Garamond" w:hAnsi="Garamond"/>
          <w:i/>
          <w:sz w:val="26"/>
          <w:szCs w:val="26"/>
        </w:rPr>
        <w:t>Brendlin</w:t>
      </w:r>
      <w:r>
        <w:rPr>
          <w:rFonts w:ascii="Garamond" w:hAnsi="Garamond"/>
          <w:sz w:val="26"/>
          <w:szCs w:val="26"/>
        </w:rPr>
        <w:t xml:space="preserve">). But studies have now been done, </w:t>
      </w:r>
      <w:r w:rsidR="00DD0B31">
        <w:rPr>
          <w:rFonts w:ascii="Garamond" w:hAnsi="Garamond"/>
          <w:sz w:val="26"/>
          <w:szCs w:val="26"/>
        </w:rPr>
        <w:t xml:space="preserve">and they show just what we as defense attorneys would expect: People often </w:t>
      </w:r>
      <w:r w:rsidR="00DD0B31" w:rsidRPr="0011792A">
        <w:rPr>
          <w:rFonts w:ascii="Garamond" w:hAnsi="Garamond"/>
          <w:i/>
          <w:sz w:val="26"/>
          <w:szCs w:val="26"/>
        </w:rPr>
        <w:t>don</w:t>
      </w:r>
      <w:r w:rsidR="00740BC4">
        <w:rPr>
          <w:rFonts w:ascii="Garamond" w:hAnsi="Garamond"/>
          <w:i/>
          <w:sz w:val="26"/>
          <w:szCs w:val="26"/>
        </w:rPr>
        <w:t>’</w:t>
      </w:r>
      <w:r w:rsidR="00DD0B31" w:rsidRPr="0011792A">
        <w:rPr>
          <w:rFonts w:ascii="Garamond" w:hAnsi="Garamond"/>
          <w:i/>
          <w:sz w:val="26"/>
          <w:szCs w:val="26"/>
        </w:rPr>
        <w:t>t</w:t>
      </w:r>
      <w:r w:rsidR="00DD0B31">
        <w:rPr>
          <w:rFonts w:ascii="Garamond" w:hAnsi="Garamond"/>
          <w:sz w:val="26"/>
          <w:szCs w:val="26"/>
        </w:rPr>
        <w:t xml:space="preserve"> feel free to terminate a purportedly </w:t>
      </w:r>
      <w:r w:rsidR="0011792A">
        <w:rPr>
          <w:rFonts w:ascii="Garamond" w:hAnsi="Garamond"/>
          <w:sz w:val="26"/>
          <w:szCs w:val="26"/>
        </w:rPr>
        <w:t xml:space="preserve">consensual encounter with the police. </w:t>
      </w:r>
    </w:p>
    <w:p w14:paraId="68D4F4E3" w14:textId="77777777" w:rsidR="0011792A" w:rsidRDefault="0011792A" w:rsidP="00144DF5">
      <w:pPr>
        <w:rPr>
          <w:rFonts w:ascii="Garamond" w:hAnsi="Garamond"/>
          <w:sz w:val="26"/>
          <w:szCs w:val="26"/>
        </w:rPr>
      </w:pPr>
      <w:r>
        <w:rPr>
          <w:rFonts w:ascii="Garamond" w:hAnsi="Garamond"/>
          <w:sz w:val="26"/>
          <w:szCs w:val="26"/>
        </w:rPr>
        <w:t>Take a study published in the Yale Law Journal.</w:t>
      </w:r>
      <w:r w:rsidR="00740BC4">
        <w:rPr>
          <w:rStyle w:val="FootnoteReference"/>
          <w:rFonts w:ascii="Garamond" w:hAnsi="Garamond"/>
          <w:sz w:val="26"/>
          <w:szCs w:val="26"/>
        </w:rPr>
        <w:footnoteReference w:id="25"/>
      </w:r>
      <w:r>
        <w:rPr>
          <w:rFonts w:ascii="Garamond" w:hAnsi="Garamond"/>
          <w:sz w:val="26"/>
          <w:szCs w:val="26"/>
        </w:rPr>
        <w:t xml:space="preserve"> There the authors conducted an experiment with two sets of people. For one set (students who had volunteered to be part of a study but who did not know the nature of it), the researchers s</w:t>
      </w:r>
      <w:r w:rsidR="00664451">
        <w:rPr>
          <w:rFonts w:ascii="Garamond" w:hAnsi="Garamond"/>
          <w:sz w:val="26"/>
          <w:szCs w:val="26"/>
        </w:rPr>
        <w:t xml:space="preserve">at each participant down and </w:t>
      </w:r>
      <w:r>
        <w:rPr>
          <w:rFonts w:ascii="Garamond" w:hAnsi="Garamond"/>
          <w:sz w:val="26"/>
          <w:szCs w:val="26"/>
        </w:rPr>
        <w:t>said</w:t>
      </w:r>
      <w:r w:rsidR="00664451">
        <w:rPr>
          <w:rFonts w:ascii="Garamond" w:hAnsi="Garamond"/>
          <w:sz w:val="26"/>
          <w:szCs w:val="26"/>
        </w:rPr>
        <w:t xml:space="preserve"> that they were about to begin </w:t>
      </w:r>
      <w:r>
        <w:rPr>
          <w:rFonts w:ascii="Garamond" w:hAnsi="Garamond"/>
          <w:sz w:val="26"/>
          <w:szCs w:val="26"/>
        </w:rPr>
        <w:t>but before they did, they</w:t>
      </w:r>
      <w:r w:rsidR="00954A2E">
        <w:rPr>
          <w:rFonts w:ascii="Garamond" w:hAnsi="Garamond"/>
          <w:sz w:val="26"/>
          <w:szCs w:val="26"/>
        </w:rPr>
        <w:t xml:space="preserve"> just</w:t>
      </w:r>
      <w:r>
        <w:rPr>
          <w:rFonts w:ascii="Garamond" w:hAnsi="Garamond"/>
          <w:sz w:val="26"/>
          <w:szCs w:val="26"/>
        </w:rPr>
        <w:t xml:space="preserve"> needed to look at the participant</w:t>
      </w:r>
      <w:r w:rsidR="00740BC4">
        <w:rPr>
          <w:rFonts w:ascii="Garamond" w:hAnsi="Garamond"/>
          <w:sz w:val="26"/>
          <w:szCs w:val="26"/>
        </w:rPr>
        <w:t>’</w:t>
      </w:r>
      <w:r>
        <w:rPr>
          <w:rFonts w:ascii="Garamond" w:hAnsi="Garamond"/>
          <w:sz w:val="26"/>
          <w:szCs w:val="26"/>
        </w:rPr>
        <w:t xml:space="preserve">s phone. </w:t>
      </w:r>
      <w:r w:rsidR="00664451">
        <w:rPr>
          <w:rFonts w:ascii="Garamond" w:hAnsi="Garamond"/>
          <w:sz w:val="26"/>
          <w:szCs w:val="26"/>
        </w:rPr>
        <w:t>The researchers</w:t>
      </w:r>
      <w:r>
        <w:rPr>
          <w:rFonts w:ascii="Garamond" w:hAnsi="Garamond"/>
          <w:sz w:val="26"/>
          <w:szCs w:val="26"/>
        </w:rPr>
        <w:t xml:space="preserve"> didn</w:t>
      </w:r>
      <w:r w:rsidR="00740BC4">
        <w:rPr>
          <w:rFonts w:ascii="Garamond" w:hAnsi="Garamond"/>
          <w:sz w:val="26"/>
          <w:szCs w:val="26"/>
        </w:rPr>
        <w:t>’</w:t>
      </w:r>
      <w:r>
        <w:rPr>
          <w:rFonts w:ascii="Garamond" w:hAnsi="Garamond"/>
          <w:sz w:val="26"/>
          <w:szCs w:val="26"/>
        </w:rPr>
        <w:t xml:space="preserve">t say </w:t>
      </w:r>
      <w:r w:rsidR="00664451">
        <w:rPr>
          <w:rFonts w:ascii="Garamond" w:hAnsi="Garamond"/>
          <w:sz w:val="26"/>
          <w:szCs w:val="26"/>
        </w:rPr>
        <w:t>this</w:t>
      </w:r>
      <w:r>
        <w:rPr>
          <w:rFonts w:ascii="Garamond" w:hAnsi="Garamond"/>
          <w:sz w:val="26"/>
          <w:szCs w:val="26"/>
        </w:rPr>
        <w:t xml:space="preserve"> was mandatory. The</w:t>
      </w:r>
      <w:r w:rsidR="00954A2E">
        <w:rPr>
          <w:rFonts w:ascii="Garamond" w:hAnsi="Garamond"/>
          <w:sz w:val="26"/>
          <w:szCs w:val="26"/>
        </w:rPr>
        <w:t>y</w:t>
      </w:r>
      <w:r>
        <w:rPr>
          <w:rFonts w:ascii="Garamond" w:hAnsi="Garamond"/>
          <w:sz w:val="26"/>
          <w:szCs w:val="26"/>
        </w:rPr>
        <w:t xml:space="preserve"> just said they needed the participant to unlock their phone and give it to them for a few minutes. </w:t>
      </w:r>
    </w:p>
    <w:p w14:paraId="4CC3A213" w14:textId="77777777" w:rsidR="0011792A" w:rsidRDefault="0011792A" w:rsidP="00144DF5">
      <w:pPr>
        <w:rPr>
          <w:rFonts w:ascii="Garamond" w:hAnsi="Garamond"/>
          <w:sz w:val="26"/>
          <w:szCs w:val="26"/>
        </w:rPr>
      </w:pPr>
      <w:r>
        <w:rPr>
          <w:rFonts w:ascii="Garamond" w:hAnsi="Garamond"/>
          <w:sz w:val="26"/>
          <w:szCs w:val="26"/>
        </w:rPr>
        <w:t xml:space="preserve">There were 103 participants. How many do you think </w:t>
      </w:r>
      <w:r w:rsidR="00664451">
        <w:rPr>
          <w:rFonts w:ascii="Garamond" w:hAnsi="Garamond"/>
          <w:sz w:val="26"/>
          <w:szCs w:val="26"/>
        </w:rPr>
        <w:t>handed over their phones</w:t>
      </w:r>
      <w:r>
        <w:rPr>
          <w:rFonts w:ascii="Garamond" w:hAnsi="Garamond"/>
          <w:sz w:val="26"/>
          <w:szCs w:val="26"/>
        </w:rPr>
        <w:t xml:space="preserve">? And before you skip ahead to find out, bear this in mind: that was the other part of the study. They asked another group of participants the following: </w:t>
      </w:r>
    </w:p>
    <w:p w14:paraId="082D852D" w14:textId="77777777" w:rsidR="0011792A" w:rsidRDefault="0011792A" w:rsidP="0011792A">
      <w:pPr>
        <w:ind w:left="720"/>
        <w:rPr>
          <w:rFonts w:ascii="Garamond" w:hAnsi="Garamond"/>
          <w:sz w:val="26"/>
          <w:szCs w:val="26"/>
        </w:rPr>
      </w:pPr>
      <w:r w:rsidRPr="0011792A">
        <w:rPr>
          <w:rFonts w:ascii="Garamond" w:hAnsi="Garamond"/>
          <w:sz w:val="26"/>
          <w:szCs w:val="26"/>
        </w:rPr>
        <w:lastRenderedPageBreak/>
        <w:t xml:space="preserve">Imagine that you were seated in a psychology lab, similar to the one you are in now, and an experimenter came in and said to you: </w:t>
      </w:r>
      <w:r w:rsidR="00740BC4">
        <w:rPr>
          <w:rFonts w:ascii="Garamond" w:hAnsi="Garamond"/>
          <w:sz w:val="26"/>
          <w:szCs w:val="26"/>
        </w:rPr>
        <w:t>“</w:t>
      </w:r>
      <w:r w:rsidRPr="0011792A">
        <w:rPr>
          <w:rFonts w:ascii="Garamond" w:hAnsi="Garamond"/>
          <w:sz w:val="26"/>
          <w:szCs w:val="26"/>
        </w:rPr>
        <w:t>Before we begin the study, can you please unlock your phone and hand it to me? I</w:t>
      </w:r>
      <w:r w:rsidR="00740BC4">
        <w:rPr>
          <w:rFonts w:ascii="Garamond" w:hAnsi="Garamond"/>
          <w:sz w:val="26"/>
          <w:szCs w:val="26"/>
        </w:rPr>
        <w:t>’</w:t>
      </w:r>
      <w:r w:rsidRPr="0011792A">
        <w:rPr>
          <w:rFonts w:ascii="Garamond" w:hAnsi="Garamond"/>
          <w:sz w:val="26"/>
          <w:szCs w:val="26"/>
        </w:rPr>
        <w:t>ll just need to take your phone outside of the room for a moment to check for some things.</w:t>
      </w:r>
      <w:r w:rsidR="00740BC4">
        <w:rPr>
          <w:rFonts w:ascii="Garamond" w:hAnsi="Garamond"/>
          <w:sz w:val="26"/>
          <w:szCs w:val="26"/>
        </w:rPr>
        <w:t>”</w:t>
      </w:r>
      <w:r>
        <w:rPr>
          <w:rFonts w:ascii="Garamond" w:hAnsi="Garamond"/>
          <w:sz w:val="26"/>
          <w:szCs w:val="26"/>
        </w:rPr>
        <w:t xml:space="preserve"> </w:t>
      </w:r>
    </w:p>
    <w:p w14:paraId="555AD3C2" w14:textId="77777777" w:rsidR="0011792A" w:rsidRDefault="00664451" w:rsidP="0011792A">
      <w:pPr>
        <w:rPr>
          <w:rFonts w:ascii="Garamond" w:hAnsi="Garamond"/>
          <w:sz w:val="26"/>
          <w:szCs w:val="26"/>
        </w:rPr>
      </w:pPr>
      <w:r>
        <w:rPr>
          <w:rFonts w:ascii="Garamond" w:hAnsi="Garamond"/>
          <w:sz w:val="26"/>
          <w:szCs w:val="26"/>
        </w:rPr>
        <w:t xml:space="preserve">The participants were then asked to judge how likely it was that a reasonable person would hand over their phone. </w:t>
      </w:r>
      <w:r w:rsidR="0011792A">
        <w:rPr>
          <w:rFonts w:ascii="Garamond" w:hAnsi="Garamond"/>
          <w:sz w:val="26"/>
          <w:szCs w:val="26"/>
        </w:rPr>
        <w:t xml:space="preserve"> </w:t>
      </w:r>
    </w:p>
    <w:p w14:paraId="187A8D19" w14:textId="77777777" w:rsidR="0011792A" w:rsidRDefault="0011792A" w:rsidP="00144DF5">
      <w:pPr>
        <w:rPr>
          <w:rFonts w:ascii="Garamond" w:hAnsi="Garamond"/>
          <w:sz w:val="26"/>
          <w:szCs w:val="26"/>
        </w:rPr>
      </w:pPr>
      <w:r>
        <w:rPr>
          <w:rFonts w:ascii="Garamond" w:hAnsi="Garamond"/>
          <w:sz w:val="26"/>
          <w:szCs w:val="26"/>
        </w:rPr>
        <w:t>And you know what happened? Almost everyone who was asked</w:t>
      </w:r>
      <w:r w:rsidR="00664451">
        <w:rPr>
          <w:rFonts w:ascii="Garamond" w:hAnsi="Garamond"/>
          <w:sz w:val="26"/>
          <w:szCs w:val="26"/>
        </w:rPr>
        <w:t xml:space="preserve"> to hand</w:t>
      </w:r>
      <w:r>
        <w:rPr>
          <w:rFonts w:ascii="Garamond" w:hAnsi="Garamond"/>
          <w:sz w:val="26"/>
          <w:szCs w:val="26"/>
        </w:rPr>
        <w:t xml:space="preserve"> over their phone </w:t>
      </w:r>
      <w:r w:rsidR="00664451">
        <w:rPr>
          <w:rFonts w:ascii="Garamond" w:hAnsi="Garamond"/>
          <w:sz w:val="26"/>
          <w:szCs w:val="26"/>
        </w:rPr>
        <w:t xml:space="preserve">did it </w:t>
      </w:r>
      <w:r>
        <w:rPr>
          <w:rFonts w:ascii="Garamond" w:hAnsi="Garamond"/>
          <w:sz w:val="26"/>
          <w:szCs w:val="26"/>
        </w:rPr>
        <w:t>(100 out of 103).</w:t>
      </w:r>
      <w:r w:rsidR="00CD7442">
        <w:rPr>
          <w:rStyle w:val="FootnoteReference"/>
          <w:rFonts w:ascii="Garamond" w:hAnsi="Garamond"/>
          <w:sz w:val="26"/>
          <w:szCs w:val="26"/>
        </w:rPr>
        <w:footnoteReference w:id="26"/>
      </w:r>
      <w:r>
        <w:rPr>
          <w:rFonts w:ascii="Garamond" w:hAnsi="Garamond"/>
          <w:sz w:val="26"/>
          <w:szCs w:val="26"/>
        </w:rPr>
        <w:t xml:space="preserve"> But the people asked to predict </w:t>
      </w:r>
      <w:r w:rsidR="00AC0011">
        <w:rPr>
          <w:rFonts w:ascii="Garamond" w:hAnsi="Garamond"/>
          <w:sz w:val="26"/>
          <w:szCs w:val="26"/>
        </w:rPr>
        <w:t>whether a reasonable</w:t>
      </w:r>
      <w:r w:rsidR="00664451">
        <w:rPr>
          <w:rFonts w:ascii="Garamond" w:hAnsi="Garamond"/>
          <w:sz w:val="26"/>
          <w:szCs w:val="26"/>
        </w:rPr>
        <w:t xml:space="preserve"> person would hand over their phone</w:t>
      </w:r>
      <w:r>
        <w:rPr>
          <w:rFonts w:ascii="Garamond" w:hAnsi="Garamond"/>
          <w:sz w:val="26"/>
          <w:szCs w:val="26"/>
        </w:rPr>
        <w:t xml:space="preserve"> radically underestimated</w:t>
      </w:r>
      <w:r w:rsidR="00AC0011">
        <w:rPr>
          <w:rFonts w:ascii="Garamond" w:hAnsi="Garamond"/>
          <w:sz w:val="26"/>
          <w:szCs w:val="26"/>
        </w:rPr>
        <w:t xml:space="preserve"> compliance </w:t>
      </w:r>
      <w:r w:rsidR="00664451">
        <w:rPr>
          <w:rFonts w:ascii="Garamond" w:hAnsi="Garamond"/>
          <w:sz w:val="26"/>
          <w:szCs w:val="26"/>
        </w:rPr>
        <w:t>(</w:t>
      </w:r>
      <w:r w:rsidR="00AC0011">
        <w:rPr>
          <w:rFonts w:ascii="Garamond" w:hAnsi="Garamond"/>
          <w:sz w:val="26"/>
          <w:szCs w:val="26"/>
        </w:rPr>
        <w:t xml:space="preserve">by </w:t>
      </w:r>
      <w:r w:rsidR="00664451">
        <w:rPr>
          <w:rFonts w:ascii="Garamond" w:hAnsi="Garamond"/>
          <w:sz w:val="26"/>
          <w:szCs w:val="26"/>
        </w:rPr>
        <w:t>as much as 83%</w:t>
      </w:r>
      <w:r w:rsidR="00AC0011">
        <w:rPr>
          <w:rStyle w:val="FootnoteReference"/>
          <w:rFonts w:ascii="Garamond" w:hAnsi="Garamond"/>
          <w:sz w:val="26"/>
          <w:szCs w:val="26"/>
        </w:rPr>
        <w:footnoteReference w:id="27"/>
      </w:r>
      <w:r w:rsidR="00664451">
        <w:rPr>
          <w:rFonts w:ascii="Garamond" w:hAnsi="Garamond"/>
          <w:sz w:val="26"/>
          <w:szCs w:val="26"/>
        </w:rPr>
        <w:t>).</w:t>
      </w:r>
      <w:r w:rsidR="00AC0011">
        <w:rPr>
          <w:rFonts w:ascii="Garamond" w:hAnsi="Garamond"/>
          <w:sz w:val="26"/>
          <w:szCs w:val="26"/>
        </w:rPr>
        <w:t xml:space="preserve"> </w:t>
      </w:r>
    </w:p>
    <w:p w14:paraId="3083C6D5" w14:textId="77777777" w:rsidR="00AC0011" w:rsidRDefault="00AC0011" w:rsidP="00144DF5">
      <w:pPr>
        <w:rPr>
          <w:rFonts w:ascii="Garamond" w:hAnsi="Garamond"/>
          <w:sz w:val="26"/>
          <w:szCs w:val="26"/>
        </w:rPr>
      </w:pPr>
      <w:r>
        <w:rPr>
          <w:rFonts w:ascii="Garamond" w:hAnsi="Garamond"/>
          <w:sz w:val="26"/>
          <w:szCs w:val="26"/>
        </w:rPr>
        <w:t>The reason for thi</w:t>
      </w:r>
      <w:r w:rsidR="007412B3">
        <w:rPr>
          <w:rFonts w:ascii="Garamond" w:hAnsi="Garamond"/>
          <w:sz w:val="26"/>
          <w:szCs w:val="26"/>
        </w:rPr>
        <w:t>s is what the researchers call</w:t>
      </w:r>
      <w:r>
        <w:rPr>
          <w:rFonts w:ascii="Garamond" w:hAnsi="Garamond"/>
          <w:sz w:val="26"/>
          <w:szCs w:val="26"/>
        </w:rPr>
        <w:t xml:space="preserve"> an empathy gap: People have a hard time envisioning themselves in the emotional state of the person being asked to hand over their phone. As you sit in your office or home reading this article, for instance, you are (hopefully) relaxed, calm, and in what the researchers would call a relatively </w:t>
      </w:r>
      <w:r w:rsidR="00740BC4">
        <w:rPr>
          <w:rFonts w:ascii="Garamond" w:hAnsi="Garamond"/>
          <w:sz w:val="26"/>
          <w:szCs w:val="26"/>
        </w:rPr>
        <w:t>“</w:t>
      </w:r>
      <w:r>
        <w:rPr>
          <w:rFonts w:ascii="Garamond" w:hAnsi="Garamond"/>
          <w:sz w:val="26"/>
          <w:szCs w:val="26"/>
        </w:rPr>
        <w:t>cool</w:t>
      </w:r>
      <w:r w:rsidR="00740BC4">
        <w:rPr>
          <w:rFonts w:ascii="Garamond" w:hAnsi="Garamond"/>
          <w:sz w:val="26"/>
          <w:szCs w:val="26"/>
        </w:rPr>
        <w:t>”</w:t>
      </w:r>
      <w:r>
        <w:rPr>
          <w:rFonts w:ascii="Garamond" w:hAnsi="Garamond"/>
          <w:sz w:val="26"/>
          <w:szCs w:val="26"/>
        </w:rPr>
        <w:t xml:space="preserve"> emotional state. But if someone asks you, in public and without warning, to hand over your phone so they can inspect it, your emotional state will change. You</w:t>
      </w:r>
      <w:r w:rsidR="00740BC4">
        <w:rPr>
          <w:rFonts w:ascii="Garamond" w:hAnsi="Garamond"/>
          <w:sz w:val="26"/>
          <w:szCs w:val="26"/>
        </w:rPr>
        <w:t>’</w:t>
      </w:r>
      <w:r>
        <w:rPr>
          <w:rFonts w:ascii="Garamond" w:hAnsi="Garamond"/>
          <w:sz w:val="26"/>
          <w:szCs w:val="26"/>
        </w:rPr>
        <w:t xml:space="preserve">ll become stressed or anxious. You may sweat. Your blood pressure may </w:t>
      </w:r>
      <w:r w:rsidR="00B959B8">
        <w:rPr>
          <w:rFonts w:ascii="Garamond" w:hAnsi="Garamond"/>
          <w:sz w:val="26"/>
          <w:szCs w:val="26"/>
        </w:rPr>
        <w:t>rise</w:t>
      </w:r>
      <w:r>
        <w:rPr>
          <w:rFonts w:ascii="Garamond" w:hAnsi="Garamond"/>
          <w:sz w:val="26"/>
          <w:szCs w:val="26"/>
        </w:rPr>
        <w:t>. But right now, in your home, it may be hard to put yourself in tha</w:t>
      </w:r>
      <w:r w:rsidR="0019230D">
        <w:rPr>
          <w:rFonts w:ascii="Garamond" w:hAnsi="Garamond"/>
          <w:sz w:val="26"/>
          <w:szCs w:val="26"/>
        </w:rPr>
        <w:t>t place mentally unless you really try to. That</w:t>
      </w:r>
      <w:r w:rsidR="00740BC4">
        <w:rPr>
          <w:rFonts w:ascii="Garamond" w:hAnsi="Garamond"/>
          <w:sz w:val="26"/>
          <w:szCs w:val="26"/>
        </w:rPr>
        <w:t>’</w:t>
      </w:r>
      <w:r w:rsidR="0019230D">
        <w:rPr>
          <w:rFonts w:ascii="Garamond" w:hAnsi="Garamond"/>
          <w:sz w:val="26"/>
          <w:szCs w:val="26"/>
        </w:rPr>
        <w:t>s why it</w:t>
      </w:r>
      <w:r w:rsidR="00740BC4">
        <w:rPr>
          <w:rFonts w:ascii="Garamond" w:hAnsi="Garamond"/>
          <w:sz w:val="26"/>
          <w:szCs w:val="26"/>
        </w:rPr>
        <w:t>’</w:t>
      </w:r>
      <w:r w:rsidR="0019230D">
        <w:rPr>
          <w:rFonts w:ascii="Garamond" w:hAnsi="Garamond"/>
          <w:sz w:val="26"/>
          <w:szCs w:val="26"/>
        </w:rPr>
        <w:t>s so hard to predict how you</w:t>
      </w:r>
      <w:r w:rsidR="00740BC4">
        <w:rPr>
          <w:rFonts w:ascii="Garamond" w:hAnsi="Garamond"/>
          <w:sz w:val="26"/>
          <w:szCs w:val="26"/>
        </w:rPr>
        <w:t>’</w:t>
      </w:r>
      <w:r w:rsidR="0019230D">
        <w:rPr>
          <w:rFonts w:ascii="Garamond" w:hAnsi="Garamond"/>
          <w:sz w:val="26"/>
          <w:szCs w:val="26"/>
        </w:rPr>
        <w:t xml:space="preserve">ll behave under a different set of emotional circumstances. </w:t>
      </w:r>
    </w:p>
    <w:p w14:paraId="4A6FAF8C" w14:textId="77777777" w:rsidR="0019230D" w:rsidRDefault="0019230D" w:rsidP="00144DF5">
      <w:pPr>
        <w:rPr>
          <w:rFonts w:ascii="Garamond" w:hAnsi="Garamond"/>
          <w:sz w:val="26"/>
          <w:szCs w:val="26"/>
        </w:rPr>
      </w:pPr>
      <w:r>
        <w:rPr>
          <w:rFonts w:ascii="Garamond" w:hAnsi="Garamond"/>
          <w:sz w:val="26"/>
          <w:szCs w:val="26"/>
        </w:rPr>
        <w:t xml:space="preserve">So this study is helpful for two </w:t>
      </w:r>
      <w:r w:rsidR="007412B3">
        <w:rPr>
          <w:rFonts w:ascii="Garamond" w:hAnsi="Garamond"/>
          <w:sz w:val="26"/>
          <w:szCs w:val="26"/>
        </w:rPr>
        <w:t>reasons</w:t>
      </w:r>
      <w:r>
        <w:rPr>
          <w:rFonts w:ascii="Garamond" w:hAnsi="Garamond"/>
          <w:sz w:val="26"/>
          <w:szCs w:val="26"/>
        </w:rPr>
        <w:t xml:space="preserve">: First, the sheer numbers show that as a matter of fact, most people will feel like they have to comply with requests from authority. The study </w:t>
      </w:r>
      <w:r w:rsidR="007412B3">
        <w:rPr>
          <w:rFonts w:ascii="Garamond" w:hAnsi="Garamond"/>
          <w:sz w:val="26"/>
          <w:szCs w:val="26"/>
        </w:rPr>
        <w:t>demonstrates this by using both the experiment and actual</w:t>
      </w:r>
      <w:r>
        <w:rPr>
          <w:rFonts w:ascii="Garamond" w:hAnsi="Garamond"/>
          <w:sz w:val="26"/>
          <w:szCs w:val="26"/>
        </w:rPr>
        <w:t xml:space="preserve"> statistics on police-civilian interactions in Los Angeles. This data—taken from one six-month period in 2006—showed that the Los Angeles Police Department asked more than 16,000 people for consent to search their car.</w:t>
      </w:r>
      <w:r w:rsidR="00CD7442">
        <w:rPr>
          <w:rStyle w:val="FootnoteReference"/>
          <w:rFonts w:ascii="Garamond" w:hAnsi="Garamond"/>
          <w:sz w:val="26"/>
          <w:szCs w:val="26"/>
        </w:rPr>
        <w:footnoteReference w:id="28"/>
      </w:r>
      <w:r>
        <w:rPr>
          <w:rFonts w:ascii="Garamond" w:hAnsi="Garamond"/>
          <w:sz w:val="26"/>
          <w:szCs w:val="26"/>
        </w:rPr>
        <w:t xml:space="preserve"> Ninety-nine percent agreed. </w:t>
      </w:r>
    </w:p>
    <w:p w14:paraId="39AE635A" w14:textId="77777777" w:rsidR="0019230D" w:rsidRDefault="0019230D" w:rsidP="00144DF5">
      <w:pPr>
        <w:rPr>
          <w:rFonts w:ascii="Garamond" w:hAnsi="Garamond"/>
          <w:sz w:val="26"/>
          <w:szCs w:val="26"/>
        </w:rPr>
      </w:pPr>
      <w:r>
        <w:rPr>
          <w:rFonts w:ascii="Garamond" w:hAnsi="Garamond"/>
          <w:sz w:val="26"/>
          <w:szCs w:val="26"/>
        </w:rPr>
        <w:t>The second reason the study is helpful is to prime judges and research attorneys for their own biases. Even if the court is not going to be swayed by the fact that 99% of motorists will consent to a police search (I mean, 99%...that</w:t>
      </w:r>
      <w:r w:rsidR="00740BC4">
        <w:rPr>
          <w:rFonts w:ascii="Garamond" w:hAnsi="Garamond"/>
          <w:sz w:val="26"/>
          <w:szCs w:val="26"/>
        </w:rPr>
        <w:t>’</w:t>
      </w:r>
      <w:r>
        <w:rPr>
          <w:rFonts w:ascii="Garamond" w:hAnsi="Garamond"/>
          <w:sz w:val="26"/>
          <w:szCs w:val="26"/>
        </w:rPr>
        <w:t>s an astounding number), the court may be willing to check its own biases in considering your client</w:t>
      </w:r>
      <w:r w:rsidR="00740BC4">
        <w:rPr>
          <w:rFonts w:ascii="Garamond" w:hAnsi="Garamond"/>
          <w:sz w:val="26"/>
          <w:szCs w:val="26"/>
        </w:rPr>
        <w:t>’</w:t>
      </w:r>
      <w:r>
        <w:rPr>
          <w:rFonts w:ascii="Garamond" w:hAnsi="Garamond"/>
          <w:sz w:val="26"/>
          <w:szCs w:val="26"/>
        </w:rPr>
        <w:t xml:space="preserve">s case. </w:t>
      </w:r>
      <w:r w:rsidR="00664451">
        <w:rPr>
          <w:rFonts w:ascii="Garamond" w:hAnsi="Garamond"/>
          <w:sz w:val="26"/>
          <w:szCs w:val="26"/>
        </w:rPr>
        <w:t>T</w:t>
      </w:r>
      <w:r w:rsidR="007412B3">
        <w:rPr>
          <w:rFonts w:ascii="Garamond" w:hAnsi="Garamond"/>
          <w:sz w:val="26"/>
          <w:szCs w:val="26"/>
        </w:rPr>
        <w:t>hat is, t</w:t>
      </w:r>
      <w:r w:rsidR="00664451">
        <w:rPr>
          <w:rFonts w:ascii="Garamond" w:hAnsi="Garamond"/>
          <w:sz w:val="26"/>
          <w:szCs w:val="26"/>
        </w:rPr>
        <w:t xml:space="preserve">he justices may be more </w:t>
      </w:r>
      <w:r w:rsidR="007412B3">
        <w:rPr>
          <w:rFonts w:ascii="Garamond" w:hAnsi="Garamond"/>
          <w:sz w:val="26"/>
          <w:szCs w:val="26"/>
        </w:rPr>
        <w:t>willing</w:t>
      </w:r>
      <w:r w:rsidR="00664451">
        <w:rPr>
          <w:rFonts w:ascii="Garamond" w:hAnsi="Garamond"/>
          <w:sz w:val="26"/>
          <w:szCs w:val="26"/>
        </w:rPr>
        <w:t xml:space="preserve"> to</w:t>
      </w:r>
      <w:r>
        <w:rPr>
          <w:rFonts w:ascii="Garamond" w:hAnsi="Garamond"/>
          <w:sz w:val="26"/>
          <w:szCs w:val="26"/>
        </w:rPr>
        <w:t xml:space="preserve"> imagine the stress </w:t>
      </w:r>
      <w:r w:rsidR="00664451">
        <w:rPr>
          <w:rFonts w:ascii="Garamond" w:hAnsi="Garamond"/>
          <w:sz w:val="26"/>
          <w:szCs w:val="26"/>
        </w:rPr>
        <w:t xml:space="preserve">of </w:t>
      </w:r>
      <w:r>
        <w:rPr>
          <w:rFonts w:ascii="Garamond" w:hAnsi="Garamond"/>
          <w:sz w:val="26"/>
          <w:szCs w:val="26"/>
        </w:rPr>
        <w:t>a</w:t>
      </w:r>
      <w:r w:rsidR="00664451">
        <w:rPr>
          <w:rFonts w:ascii="Garamond" w:hAnsi="Garamond"/>
          <w:sz w:val="26"/>
          <w:szCs w:val="26"/>
        </w:rPr>
        <w:t>n unexpected</w:t>
      </w:r>
      <w:r>
        <w:rPr>
          <w:rFonts w:ascii="Garamond" w:hAnsi="Garamond"/>
          <w:sz w:val="26"/>
          <w:szCs w:val="26"/>
        </w:rPr>
        <w:t xml:space="preserve"> police interaction</w:t>
      </w:r>
      <w:r w:rsidR="00664451">
        <w:rPr>
          <w:rFonts w:ascii="Garamond" w:hAnsi="Garamond"/>
          <w:sz w:val="26"/>
          <w:szCs w:val="26"/>
        </w:rPr>
        <w:t xml:space="preserve"> than if they were unaware of these studies</w:t>
      </w:r>
      <w:r>
        <w:rPr>
          <w:rFonts w:ascii="Garamond" w:hAnsi="Garamond"/>
          <w:sz w:val="26"/>
          <w:szCs w:val="26"/>
        </w:rPr>
        <w:t xml:space="preserve">. </w:t>
      </w:r>
    </w:p>
    <w:p w14:paraId="72265733" w14:textId="77777777" w:rsidR="00B16DF5" w:rsidRDefault="00B16DF5" w:rsidP="00144DF5">
      <w:pPr>
        <w:rPr>
          <w:rFonts w:ascii="Garamond" w:hAnsi="Garamond"/>
          <w:sz w:val="26"/>
          <w:szCs w:val="26"/>
        </w:rPr>
      </w:pPr>
      <w:r>
        <w:rPr>
          <w:rFonts w:ascii="Garamond" w:hAnsi="Garamond"/>
          <w:sz w:val="26"/>
          <w:szCs w:val="26"/>
        </w:rPr>
        <w:lastRenderedPageBreak/>
        <w:t xml:space="preserve">And indeed, courts are considering these studies. In </w:t>
      </w:r>
      <w:r w:rsidRPr="00255148">
        <w:rPr>
          <w:rFonts w:ascii="Garamond" w:hAnsi="Garamond"/>
          <w:i/>
          <w:sz w:val="26"/>
          <w:szCs w:val="26"/>
        </w:rPr>
        <w:t>People v. Linn</w:t>
      </w:r>
      <w:r>
        <w:rPr>
          <w:rFonts w:ascii="Garamond" w:hAnsi="Garamond"/>
          <w:sz w:val="26"/>
          <w:szCs w:val="26"/>
        </w:rPr>
        <w:t xml:space="preserve"> (2015) </w:t>
      </w:r>
      <w:r w:rsidR="00255148" w:rsidRPr="00255148">
        <w:rPr>
          <w:rFonts w:ascii="Garamond" w:hAnsi="Garamond"/>
          <w:sz w:val="26"/>
          <w:szCs w:val="26"/>
        </w:rPr>
        <w:t>241 Cal. App. 4th 46</w:t>
      </w:r>
      <w:r w:rsidR="00255148">
        <w:rPr>
          <w:rFonts w:ascii="Garamond" w:hAnsi="Garamond"/>
          <w:sz w:val="26"/>
          <w:szCs w:val="26"/>
        </w:rPr>
        <w:t xml:space="preserve">, for instance, the First District Court of Appeal noted the </w:t>
      </w:r>
      <w:r w:rsidR="00740BC4">
        <w:rPr>
          <w:rFonts w:ascii="Garamond" w:hAnsi="Garamond"/>
          <w:sz w:val="26"/>
          <w:szCs w:val="26"/>
        </w:rPr>
        <w:t>“</w:t>
      </w:r>
      <w:r w:rsidR="00255148" w:rsidRPr="00255148">
        <w:rPr>
          <w:rFonts w:ascii="Garamond" w:hAnsi="Garamond"/>
          <w:sz w:val="26"/>
          <w:szCs w:val="26"/>
        </w:rPr>
        <w:t>recent empirical research suggesting that a significant number of people do not feel free to leave when approached by police, and even less so when police assert even mild forms of authority.</w:t>
      </w:r>
      <w:r w:rsidR="00740BC4">
        <w:rPr>
          <w:rFonts w:ascii="Garamond" w:hAnsi="Garamond"/>
          <w:sz w:val="26"/>
          <w:szCs w:val="26"/>
        </w:rPr>
        <w:t>”</w:t>
      </w:r>
      <w:r w:rsidR="00255148">
        <w:rPr>
          <w:rFonts w:ascii="Garamond" w:hAnsi="Garamond"/>
          <w:sz w:val="26"/>
          <w:szCs w:val="26"/>
        </w:rPr>
        <w:t xml:space="preserve"> (</w:t>
      </w:r>
      <w:r w:rsidR="00255148" w:rsidRPr="00CD7442">
        <w:rPr>
          <w:rFonts w:ascii="Garamond" w:hAnsi="Garamond"/>
          <w:i/>
          <w:sz w:val="26"/>
          <w:szCs w:val="26"/>
        </w:rPr>
        <w:t>Id</w:t>
      </w:r>
      <w:r w:rsidR="00255148">
        <w:rPr>
          <w:rFonts w:ascii="Garamond" w:hAnsi="Garamond"/>
          <w:sz w:val="26"/>
          <w:szCs w:val="26"/>
        </w:rPr>
        <w:t xml:space="preserve">. at p. 68, fn. 10.) The studies the court referred to </w:t>
      </w:r>
      <w:r w:rsidR="008961D0">
        <w:rPr>
          <w:rFonts w:ascii="Garamond" w:hAnsi="Garamond"/>
          <w:sz w:val="26"/>
          <w:szCs w:val="26"/>
        </w:rPr>
        <w:t>showed that in most cases, people just don</w:t>
      </w:r>
      <w:r w:rsidR="00740BC4">
        <w:rPr>
          <w:rFonts w:ascii="Garamond" w:hAnsi="Garamond"/>
          <w:sz w:val="26"/>
          <w:szCs w:val="26"/>
        </w:rPr>
        <w:t>’</w:t>
      </w:r>
      <w:r w:rsidR="008961D0">
        <w:rPr>
          <w:rFonts w:ascii="Garamond" w:hAnsi="Garamond"/>
          <w:sz w:val="26"/>
          <w:szCs w:val="26"/>
        </w:rPr>
        <w:t>t feel free to leave when approached by the police.</w:t>
      </w:r>
      <w:r w:rsidR="008961D0">
        <w:rPr>
          <w:rStyle w:val="FootnoteReference"/>
          <w:rFonts w:ascii="Garamond" w:hAnsi="Garamond"/>
          <w:sz w:val="26"/>
          <w:szCs w:val="26"/>
        </w:rPr>
        <w:footnoteReference w:id="29"/>
      </w:r>
      <w:r w:rsidR="008961D0">
        <w:rPr>
          <w:rFonts w:ascii="Garamond" w:hAnsi="Garamond"/>
          <w:sz w:val="26"/>
          <w:szCs w:val="26"/>
        </w:rPr>
        <w:t xml:space="preserve"> </w:t>
      </w:r>
      <w:r w:rsidR="00954A2E">
        <w:rPr>
          <w:rFonts w:ascii="Garamond" w:hAnsi="Garamond"/>
          <w:sz w:val="26"/>
          <w:szCs w:val="26"/>
        </w:rPr>
        <w:t>You should cite these studies</w:t>
      </w:r>
      <w:r w:rsidR="008961D0">
        <w:rPr>
          <w:rFonts w:ascii="Garamond" w:hAnsi="Garamond"/>
          <w:sz w:val="26"/>
          <w:szCs w:val="26"/>
        </w:rPr>
        <w:t xml:space="preserve"> liberally.</w:t>
      </w:r>
    </w:p>
    <w:p w14:paraId="43EC21C2" w14:textId="77777777" w:rsidR="00C52230" w:rsidRDefault="00144DF5" w:rsidP="00C52230">
      <w:pPr>
        <w:rPr>
          <w:rFonts w:ascii="Garamond" w:eastAsia="Times New Roman" w:hAnsi="Garamond" w:cs="Times New Roman"/>
          <w:color w:val="000000"/>
          <w:sz w:val="26"/>
          <w:szCs w:val="26"/>
        </w:rPr>
      </w:pPr>
      <w:r>
        <w:rPr>
          <w:rFonts w:ascii="Garamond" w:eastAsia="Times New Roman" w:hAnsi="Garamond" w:cs="Times New Roman"/>
          <w:color w:val="000000"/>
          <w:sz w:val="26"/>
          <w:szCs w:val="26"/>
        </w:rPr>
        <w:t>A related</w:t>
      </w:r>
      <w:r w:rsidR="00C52230">
        <w:rPr>
          <w:rFonts w:ascii="Garamond" w:eastAsia="Times New Roman" w:hAnsi="Garamond" w:cs="Times New Roman"/>
          <w:color w:val="000000"/>
          <w:sz w:val="26"/>
          <w:szCs w:val="26"/>
        </w:rPr>
        <w:t xml:space="preserve"> example from a recent brief we’ve reviewed used extra-record information in a Fourth Amendment case where the People tried to justify the officer’s reasonable suspicion in part on the defendant’s stutter. </w:t>
      </w:r>
    </w:p>
    <w:p w14:paraId="54D7EE69" w14:textId="77777777" w:rsidR="00C52230" w:rsidRPr="001D2822" w:rsidRDefault="00C52230" w:rsidP="00C52230">
      <w:pPr>
        <w:rPr>
          <w:rFonts w:ascii="Garamond" w:eastAsia="Times New Roman" w:hAnsi="Garamond" w:cs="Times New Roman"/>
          <w:color w:val="000000"/>
          <w:sz w:val="26"/>
          <w:szCs w:val="26"/>
        </w:rPr>
      </w:pPr>
      <w:r>
        <w:rPr>
          <w:rFonts w:ascii="Garamond" w:eastAsia="Times New Roman" w:hAnsi="Garamond" w:cs="Times New Roman"/>
          <w:color w:val="000000"/>
          <w:sz w:val="26"/>
          <w:szCs w:val="26"/>
        </w:rPr>
        <w:t xml:space="preserve">The facts: Defendant </w:t>
      </w:r>
      <w:r w:rsidRPr="001D2822">
        <w:rPr>
          <w:rFonts w:ascii="Garamond" w:eastAsia="Times New Roman" w:hAnsi="Garamond" w:cs="Times New Roman"/>
          <w:color w:val="000000"/>
          <w:sz w:val="26"/>
          <w:szCs w:val="26"/>
        </w:rPr>
        <w:t xml:space="preserve">is approached by officers and appears nervous. </w:t>
      </w:r>
      <w:r>
        <w:rPr>
          <w:rFonts w:ascii="Garamond" w:eastAsia="Times New Roman" w:hAnsi="Garamond" w:cs="Times New Roman"/>
          <w:color w:val="000000"/>
          <w:sz w:val="26"/>
          <w:szCs w:val="26"/>
        </w:rPr>
        <w:t>Defendant</w:t>
      </w:r>
      <w:r w:rsidRPr="001D2822">
        <w:rPr>
          <w:rFonts w:ascii="Garamond" w:eastAsia="Times New Roman" w:hAnsi="Garamond" w:cs="Times New Roman"/>
          <w:color w:val="000000"/>
          <w:sz w:val="26"/>
          <w:szCs w:val="26"/>
        </w:rPr>
        <w:t xml:space="preserve"> is asked questions and stutters when responding. The trial court finds the subsequent personal search was constitutional because the nervousness provided the requisite reasonable suspicion. But should the nervousness and stuttering responses of the defendant be a factor at all? No. </w:t>
      </w:r>
    </w:p>
    <w:p w14:paraId="7AE2114D" w14:textId="77777777" w:rsidR="00C52230" w:rsidRPr="001D2822" w:rsidRDefault="00C52230" w:rsidP="00C52230">
      <w:pPr>
        <w:spacing w:line="330" w:lineRule="atLeast"/>
        <w:rPr>
          <w:rFonts w:ascii="Garamond" w:eastAsia="Times New Roman" w:hAnsi="Garamond" w:cs="Calibri"/>
          <w:color w:val="000000"/>
          <w:sz w:val="26"/>
          <w:szCs w:val="26"/>
        </w:rPr>
      </w:pPr>
      <w:r w:rsidRPr="005331CE">
        <w:rPr>
          <w:rFonts w:ascii="Garamond" w:eastAsia="Times New Roman" w:hAnsi="Garamond" w:cs="Calibri"/>
          <w:color w:val="000000"/>
          <w:sz w:val="26"/>
          <w:szCs w:val="26"/>
        </w:rPr>
        <w:t>Stuttering is a covered disability under The Americans with Disabilities Act of 1990. (See </w:t>
      </w:r>
      <w:r w:rsidRPr="005331CE">
        <w:rPr>
          <w:rFonts w:ascii="Garamond" w:eastAsia="Times New Roman" w:hAnsi="Garamond" w:cs="Calibri"/>
          <w:i/>
          <w:iCs/>
          <w:color w:val="000000"/>
          <w:sz w:val="26"/>
          <w:szCs w:val="26"/>
        </w:rPr>
        <w:t>Sterling v. McKesson Automation Inc.</w:t>
      </w:r>
      <w:r w:rsidRPr="005331CE">
        <w:rPr>
          <w:rFonts w:ascii="Garamond" w:eastAsia="Times New Roman" w:hAnsi="Garamond" w:cs="Calibri"/>
          <w:color w:val="000000"/>
          <w:sz w:val="26"/>
          <w:szCs w:val="26"/>
        </w:rPr>
        <w:t> (2006 U.S. Dist. LEXIS 69159); </w:t>
      </w:r>
      <w:r w:rsidRPr="005331CE">
        <w:rPr>
          <w:rFonts w:ascii="Garamond" w:eastAsia="Times New Roman" w:hAnsi="Garamond" w:cs="Calibri"/>
          <w:i/>
          <w:iCs/>
          <w:color w:val="000000"/>
          <w:sz w:val="26"/>
          <w:szCs w:val="26"/>
        </w:rPr>
        <w:t>Andresen v. Fuddruckers, Inc. </w:t>
      </w:r>
      <w:r w:rsidRPr="005331CE">
        <w:rPr>
          <w:rFonts w:ascii="Garamond" w:eastAsia="Times New Roman" w:hAnsi="Garamond" w:cs="Calibri"/>
          <w:color w:val="000000"/>
          <w:sz w:val="26"/>
          <w:szCs w:val="26"/>
        </w:rPr>
        <w:t>(2004 U.S. Dist. LEXIS 25373.)</w:t>
      </w:r>
      <w:r w:rsidRPr="001D2822">
        <w:rPr>
          <w:rFonts w:ascii="Garamond" w:eastAsia="Times New Roman" w:hAnsi="Garamond" w:cs="Calibri"/>
          <w:color w:val="000000"/>
          <w:sz w:val="26"/>
          <w:szCs w:val="26"/>
        </w:rPr>
        <w:t xml:space="preserve"> S</w:t>
      </w:r>
      <w:r w:rsidRPr="005331CE">
        <w:rPr>
          <w:rFonts w:ascii="Garamond" w:eastAsia="Times New Roman" w:hAnsi="Garamond" w:cs="Calibri"/>
          <w:color w:val="000000"/>
          <w:sz w:val="26"/>
          <w:szCs w:val="26"/>
        </w:rPr>
        <w:t xml:space="preserve">tuttering is not caused by “nervousness or stress,” but by myriad factors including physiological, neurological, and genetic issues. (See McCullough, Debra Cohen Ph.D., “When Police Encounter Persons Who Stutter.” The Stuttering Foundation, 2013 Newsletter.) Thus, </w:t>
      </w:r>
      <w:r>
        <w:rPr>
          <w:rFonts w:ascii="Garamond" w:eastAsia="Times New Roman" w:hAnsi="Garamond" w:cs="Calibri"/>
          <w:color w:val="000000"/>
          <w:sz w:val="26"/>
          <w:szCs w:val="26"/>
        </w:rPr>
        <w:t>a suspect’s</w:t>
      </w:r>
      <w:r w:rsidRPr="005331CE">
        <w:rPr>
          <w:rFonts w:ascii="Garamond" w:eastAsia="Times New Roman" w:hAnsi="Garamond" w:cs="Calibri"/>
          <w:color w:val="000000"/>
          <w:sz w:val="26"/>
          <w:szCs w:val="26"/>
        </w:rPr>
        <w:t xml:space="preserve"> stutter, quite possibly the result of a physical disability, should not be used to support reasonable suspicion of criminal activity.</w:t>
      </w:r>
    </w:p>
    <w:p w14:paraId="4DBEAB09" w14:textId="14F4DD30" w:rsidR="00C52230" w:rsidRPr="00144DF5" w:rsidRDefault="00CD78C1" w:rsidP="00144DF5">
      <w:pPr>
        <w:spacing w:line="330" w:lineRule="atLeast"/>
        <w:rPr>
          <w:rFonts w:ascii="Garamond" w:eastAsia="Times New Roman" w:hAnsi="Garamond" w:cs="Calibri"/>
          <w:color w:val="000000"/>
          <w:sz w:val="26"/>
          <w:szCs w:val="26"/>
        </w:rPr>
      </w:pPr>
      <w:r>
        <w:rPr>
          <w:rFonts w:ascii="Garamond" w:eastAsia="Times New Roman" w:hAnsi="Garamond" w:cs="Calibri"/>
          <w:color w:val="000000"/>
          <w:sz w:val="26"/>
          <w:szCs w:val="26"/>
        </w:rPr>
        <w:t xml:space="preserve">Law enforcement and thus district attorneys state-wide have a proven tendency to use the same justifications over and over as the basis for a reasonable suspicion or probable cause argument. As can been seen with the above example, it may be worthwhile to research whether the justifications used in a given case actually has a basis in reality. For example, does the failure to make eye-contact support the conclusion someone is lying or is there a cultural dimension to consider? Can running away from officers be fairly used to demonstrate guilt or is it more likely that the individual has a legitimate reason to fear police </w:t>
      </w:r>
      <w:r>
        <w:rPr>
          <w:rFonts w:ascii="Garamond" w:eastAsia="Times New Roman" w:hAnsi="Garamond" w:cs="Calibri"/>
          <w:color w:val="000000"/>
          <w:sz w:val="26"/>
          <w:szCs w:val="26"/>
        </w:rPr>
        <w:lastRenderedPageBreak/>
        <w:t xml:space="preserve">contact? </w:t>
      </w:r>
      <w:r w:rsidR="00A557D3">
        <w:rPr>
          <w:rFonts w:ascii="Garamond" w:eastAsia="Times New Roman" w:hAnsi="Garamond" w:cs="Calibri"/>
          <w:color w:val="000000"/>
          <w:sz w:val="26"/>
          <w:szCs w:val="26"/>
        </w:rPr>
        <w:t>You are</w:t>
      </w:r>
      <w:r w:rsidR="0085640D">
        <w:rPr>
          <w:rFonts w:ascii="Garamond" w:eastAsia="Times New Roman" w:hAnsi="Garamond" w:cs="Calibri"/>
          <w:color w:val="000000"/>
          <w:sz w:val="26"/>
          <w:szCs w:val="26"/>
        </w:rPr>
        <w:t xml:space="preserve"> encourage</w:t>
      </w:r>
      <w:r w:rsidR="00A557D3">
        <w:rPr>
          <w:rFonts w:ascii="Garamond" w:eastAsia="Times New Roman" w:hAnsi="Garamond" w:cs="Calibri"/>
          <w:color w:val="000000"/>
          <w:sz w:val="26"/>
          <w:szCs w:val="26"/>
        </w:rPr>
        <w:t>d</w:t>
      </w:r>
      <w:r w:rsidR="0085640D">
        <w:rPr>
          <w:rFonts w:ascii="Garamond" w:eastAsia="Times New Roman" w:hAnsi="Garamond" w:cs="Calibri"/>
          <w:color w:val="000000"/>
          <w:sz w:val="26"/>
          <w:szCs w:val="26"/>
        </w:rPr>
        <w:t xml:space="preserve"> you to research the first question, but case authority likely helps provide one answer to the second.</w:t>
      </w:r>
      <w:r w:rsidR="00C64CDF">
        <w:rPr>
          <w:rStyle w:val="FootnoteReference"/>
          <w:rFonts w:ascii="Garamond" w:eastAsia="Times New Roman" w:hAnsi="Garamond" w:cs="Calibri"/>
          <w:color w:val="000000"/>
          <w:sz w:val="26"/>
          <w:szCs w:val="26"/>
        </w:rPr>
        <w:footnoteReference w:id="30"/>
      </w:r>
      <w:r w:rsidR="0085640D">
        <w:rPr>
          <w:rFonts w:ascii="Garamond" w:eastAsia="Times New Roman" w:hAnsi="Garamond" w:cs="Calibri"/>
          <w:color w:val="000000"/>
          <w:sz w:val="26"/>
          <w:szCs w:val="26"/>
        </w:rPr>
        <w:t xml:space="preserve"> As can be seen, therefore, Fourth Amendment issues are ripe for the use of social science data.  </w:t>
      </w:r>
      <w:r w:rsidR="003F230C">
        <w:rPr>
          <w:rFonts w:ascii="Garamond" w:eastAsia="Times New Roman" w:hAnsi="Garamond" w:cs="Calibri"/>
          <w:color w:val="000000"/>
          <w:sz w:val="26"/>
          <w:szCs w:val="26"/>
        </w:rPr>
        <w:t xml:space="preserve"> </w:t>
      </w:r>
    </w:p>
    <w:p w14:paraId="26B4600C" w14:textId="77777777" w:rsidR="00E66049" w:rsidRPr="008961D0" w:rsidRDefault="00E66049" w:rsidP="00724C3A">
      <w:pPr>
        <w:pStyle w:val="ListParagraph"/>
        <w:numPr>
          <w:ilvl w:val="0"/>
          <w:numId w:val="1"/>
        </w:numPr>
        <w:ind w:left="720"/>
        <w:rPr>
          <w:rFonts w:ascii="Garamond" w:hAnsi="Garamond"/>
          <w:b/>
          <w:sz w:val="26"/>
          <w:szCs w:val="26"/>
        </w:rPr>
      </w:pPr>
      <w:r w:rsidRPr="008961D0">
        <w:rPr>
          <w:rFonts w:ascii="Garamond" w:hAnsi="Garamond"/>
          <w:b/>
          <w:sz w:val="26"/>
          <w:szCs w:val="26"/>
        </w:rPr>
        <w:t xml:space="preserve">Invoking </w:t>
      </w:r>
      <w:r w:rsidRPr="008961D0">
        <w:rPr>
          <w:rFonts w:ascii="Garamond" w:hAnsi="Garamond"/>
          <w:b/>
          <w:i/>
          <w:sz w:val="26"/>
          <w:szCs w:val="26"/>
        </w:rPr>
        <w:t>Miranda</w:t>
      </w:r>
      <w:r w:rsidRPr="008961D0">
        <w:rPr>
          <w:rFonts w:ascii="Garamond" w:hAnsi="Garamond"/>
          <w:b/>
          <w:sz w:val="26"/>
          <w:szCs w:val="26"/>
        </w:rPr>
        <w:t xml:space="preserve"> </w:t>
      </w:r>
    </w:p>
    <w:p w14:paraId="70D575C9" w14:textId="77777777" w:rsidR="00BA203B" w:rsidRDefault="00E66049" w:rsidP="00144DF5">
      <w:pPr>
        <w:rPr>
          <w:rFonts w:ascii="Garamond" w:hAnsi="Garamond"/>
          <w:sz w:val="26"/>
          <w:szCs w:val="26"/>
        </w:rPr>
      </w:pPr>
      <w:r>
        <w:rPr>
          <w:rFonts w:ascii="Garamond" w:hAnsi="Garamond"/>
          <w:sz w:val="26"/>
          <w:szCs w:val="26"/>
        </w:rPr>
        <w:t xml:space="preserve">How many times have you had a </w:t>
      </w:r>
      <w:r w:rsidRPr="008961D0">
        <w:rPr>
          <w:rFonts w:ascii="Garamond" w:hAnsi="Garamond"/>
          <w:i/>
          <w:sz w:val="26"/>
          <w:szCs w:val="26"/>
        </w:rPr>
        <w:t>Miranda</w:t>
      </w:r>
      <w:r>
        <w:rPr>
          <w:rFonts w:ascii="Garamond" w:hAnsi="Garamond"/>
          <w:sz w:val="26"/>
          <w:szCs w:val="26"/>
        </w:rPr>
        <w:t xml:space="preserve"> </w:t>
      </w:r>
      <w:r w:rsidR="008961D0">
        <w:rPr>
          <w:rFonts w:ascii="Garamond" w:hAnsi="Garamond"/>
          <w:sz w:val="26"/>
          <w:szCs w:val="26"/>
        </w:rPr>
        <w:t xml:space="preserve">issue where the client, after an initial </w:t>
      </w:r>
      <w:r w:rsidR="008961D0" w:rsidRPr="008961D0">
        <w:rPr>
          <w:rFonts w:ascii="Garamond" w:hAnsi="Garamond"/>
          <w:i/>
          <w:sz w:val="26"/>
          <w:szCs w:val="26"/>
        </w:rPr>
        <w:t>Miranda</w:t>
      </w:r>
      <w:r w:rsidR="008961D0">
        <w:rPr>
          <w:rFonts w:ascii="Garamond" w:hAnsi="Garamond"/>
          <w:sz w:val="26"/>
          <w:szCs w:val="26"/>
        </w:rPr>
        <w:t xml:space="preserve"> </w:t>
      </w:r>
      <w:r>
        <w:rPr>
          <w:rFonts w:ascii="Garamond" w:hAnsi="Garamond"/>
          <w:sz w:val="26"/>
          <w:szCs w:val="26"/>
        </w:rPr>
        <w:t xml:space="preserve">waiver, tries to invoke, </w:t>
      </w:r>
      <w:r w:rsidR="008961D0">
        <w:rPr>
          <w:rFonts w:ascii="Garamond" w:hAnsi="Garamond"/>
          <w:sz w:val="26"/>
          <w:szCs w:val="26"/>
        </w:rPr>
        <w:t xml:space="preserve">but the cops just plow on through and get a confession? And </w:t>
      </w:r>
      <w:r>
        <w:rPr>
          <w:rFonts w:ascii="Garamond" w:hAnsi="Garamond"/>
          <w:sz w:val="26"/>
          <w:szCs w:val="26"/>
        </w:rPr>
        <w:t>when you argue</w:t>
      </w:r>
      <w:r w:rsidR="007412B3">
        <w:rPr>
          <w:rFonts w:ascii="Garamond" w:hAnsi="Garamond"/>
          <w:sz w:val="26"/>
          <w:szCs w:val="26"/>
        </w:rPr>
        <w:t>d</w:t>
      </w:r>
      <w:r>
        <w:rPr>
          <w:rFonts w:ascii="Garamond" w:hAnsi="Garamond"/>
          <w:sz w:val="26"/>
          <w:szCs w:val="26"/>
        </w:rPr>
        <w:t xml:space="preserve"> </w:t>
      </w:r>
      <w:r w:rsidR="008961D0">
        <w:rPr>
          <w:rFonts w:ascii="Garamond" w:hAnsi="Garamond"/>
          <w:sz w:val="26"/>
          <w:szCs w:val="26"/>
        </w:rPr>
        <w:t>that your client made</w:t>
      </w:r>
      <w:r>
        <w:rPr>
          <w:rFonts w:ascii="Garamond" w:hAnsi="Garamond"/>
          <w:sz w:val="26"/>
          <w:szCs w:val="26"/>
        </w:rPr>
        <w:t xml:space="preserve"> a valid invocation </w:t>
      </w:r>
      <w:r w:rsidR="008961D0">
        <w:rPr>
          <w:rFonts w:ascii="Garamond" w:hAnsi="Garamond"/>
          <w:sz w:val="26"/>
          <w:szCs w:val="26"/>
        </w:rPr>
        <w:t xml:space="preserve">that </w:t>
      </w:r>
      <w:r>
        <w:rPr>
          <w:rFonts w:ascii="Garamond" w:hAnsi="Garamond"/>
          <w:sz w:val="26"/>
          <w:szCs w:val="26"/>
        </w:rPr>
        <w:t xml:space="preserve">the police should have honored, the court shot you down by saying, </w:t>
      </w:r>
      <w:r w:rsidR="00740BC4">
        <w:rPr>
          <w:rFonts w:ascii="Garamond" w:hAnsi="Garamond"/>
          <w:sz w:val="26"/>
          <w:szCs w:val="26"/>
        </w:rPr>
        <w:t>“</w:t>
      </w:r>
      <w:r>
        <w:rPr>
          <w:rFonts w:ascii="Garamond" w:hAnsi="Garamond"/>
          <w:sz w:val="26"/>
          <w:szCs w:val="26"/>
        </w:rPr>
        <w:t>Well, it was ambiguous.</w:t>
      </w:r>
      <w:r w:rsidR="00740BC4">
        <w:rPr>
          <w:rFonts w:ascii="Garamond" w:hAnsi="Garamond"/>
          <w:sz w:val="26"/>
          <w:szCs w:val="26"/>
        </w:rPr>
        <w:t>”</w:t>
      </w:r>
      <w:r>
        <w:rPr>
          <w:rFonts w:ascii="Garamond" w:hAnsi="Garamond"/>
          <w:sz w:val="26"/>
          <w:szCs w:val="26"/>
        </w:rPr>
        <w:t xml:space="preserve"> </w:t>
      </w:r>
    </w:p>
    <w:p w14:paraId="4814A085" w14:textId="77777777" w:rsidR="00EB706E" w:rsidRDefault="008961D0" w:rsidP="00144DF5">
      <w:pPr>
        <w:rPr>
          <w:rFonts w:ascii="Garamond" w:hAnsi="Garamond"/>
          <w:sz w:val="26"/>
          <w:szCs w:val="26"/>
        </w:rPr>
      </w:pPr>
      <w:r>
        <w:rPr>
          <w:rFonts w:ascii="Garamond" w:hAnsi="Garamond"/>
          <w:sz w:val="26"/>
          <w:szCs w:val="26"/>
        </w:rPr>
        <w:t xml:space="preserve">Happens all the time. </w:t>
      </w:r>
      <w:r w:rsidR="00EB706E">
        <w:rPr>
          <w:rFonts w:ascii="Garamond" w:hAnsi="Garamond"/>
          <w:sz w:val="26"/>
          <w:szCs w:val="26"/>
        </w:rPr>
        <w:t>So let</w:t>
      </w:r>
      <w:r w:rsidR="00740BC4">
        <w:rPr>
          <w:rFonts w:ascii="Garamond" w:hAnsi="Garamond"/>
          <w:sz w:val="26"/>
          <w:szCs w:val="26"/>
        </w:rPr>
        <w:t>’</w:t>
      </w:r>
      <w:r w:rsidR="00EB706E">
        <w:rPr>
          <w:rFonts w:ascii="Garamond" w:hAnsi="Garamond"/>
          <w:sz w:val="26"/>
          <w:szCs w:val="26"/>
        </w:rPr>
        <w:t xml:space="preserve">s talk about </w:t>
      </w:r>
      <w:r w:rsidR="00EB706E" w:rsidRPr="00EB706E">
        <w:rPr>
          <w:rFonts w:ascii="Garamond" w:hAnsi="Garamond"/>
          <w:i/>
          <w:sz w:val="26"/>
          <w:szCs w:val="26"/>
        </w:rPr>
        <w:t>Davis v. United States</w:t>
      </w:r>
      <w:r w:rsidR="00EB706E">
        <w:rPr>
          <w:rFonts w:ascii="Garamond" w:hAnsi="Garamond"/>
          <w:sz w:val="26"/>
          <w:szCs w:val="26"/>
        </w:rPr>
        <w:t xml:space="preserve"> (1994) </w:t>
      </w:r>
      <w:r w:rsidR="00EB706E" w:rsidRPr="00EB706E">
        <w:rPr>
          <w:rFonts w:ascii="Garamond" w:hAnsi="Garamond"/>
          <w:sz w:val="26"/>
          <w:szCs w:val="26"/>
        </w:rPr>
        <w:t>512 U.S. 452</w:t>
      </w:r>
      <w:r w:rsidR="00EB706E">
        <w:rPr>
          <w:rFonts w:ascii="Garamond" w:hAnsi="Garamond"/>
          <w:sz w:val="26"/>
          <w:szCs w:val="26"/>
        </w:rPr>
        <w:t xml:space="preserve">, which is a leading case on ambiguous invocations. There, Mr. Davis had been playing pool on a Navy base. He bet thirty dollars on a game against a fellow sailor named Shackleton and won, but Shackleton refused to pay. Davis beat </w:t>
      </w:r>
      <w:r w:rsidR="007412B3">
        <w:rPr>
          <w:rFonts w:ascii="Garamond" w:hAnsi="Garamond"/>
          <w:sz w:val="26"/>
          <w:szCs w:val="26"/>
        </w:rPr>
        <w:t>him</w:t>
      </w:r>
      <w:r w:rsidR="00EB706E">
        <w:rPr>
          <w:rFonts w:ascii="Garamond" w:hAnsi="Garamond"/>
          <w:sz w:val="26"/>
          <w:szCs w:val="26"/>
        </w:rPr>
        <w:t xml:space="preserve"> to death with a pool cue.</w:t>
      </w:r>
      <w:r w:rsidR="00EB706E">
        <w:rPr>
          <w:rStyle w:val="FootnoteReference"/>
          <w:rFonts w:ascii="Garamond" w:hAnsi="Garamond"/>
          <w:sz w:val="26"/>
          <w:szCs w:val="26"/>
        </w:rPr>
        <w:footnoteReference w:id="31"/>
      </w:r>
      <w:r w:rsidR="00EB706E">
        <w:rPr>
          <w:rFonts w:ascii="Garamond" w:hAnsi="Garamond"/>
          <w:sz w:val="26"/>
          <w:szCs w:val="26"/>
        </w:rPr>
        <w:t xml:space="preserve"> </w:t>
      </w:r>
    </w:p>
    <w:p w14:paraId="5A5EFBEF" w14:textId="77777777" w:rsidR="00931555" w:rsidRDefault="00EB706E" w:rsidP="00144DF5">
      <w:pPr>
        <w:rPr>
          <w:rFonts w:ascii="Garamond" w:hAnsi="Garamond"/>
          <w:sz w:val="26"/>
          <w:szCs w:val="26"/>
        </w:rPr>
      </w:pPr>
      <w:r>
        <w:rPr>
          <w:rFonts w:ascii="Garamond" w:hAnsi="Garamond"/>
          <w:sz w:val="26"/>
          <w:szCs w:val="26"/>
        </w:rPr>
        <w:t>When he was being interviewed by the police</w:t>
      </w:r>
      <w:r w:rsidR="00931555">
        <w:rPr>
          <w:rFonts w:ascii="Garamond" w:hAnsi="Garamond"/>
          <w:sz w:val="26"/>
          <w:szCs w:val="26"/>
        </w:rPr>
        <w:t xml:space="preserve"> about the murder</w:t>
      </w:r>
      <w:r>
        <w:rPr>
          <w:rFonts w:ascii="Garamond" w:hAnsi="Garamond"/>
          <w:sz w:val="26"/>
          <w:szCs w:val="26"/>
        </w:rPr>
        <w:t xml:space="preserve">, Mr. Davis at one point said, </w:t>
      </w:r>
      <w:r w:rsidR="00740BC4">
        <w:rPr>
          <w:rFonts w:ascii="Garamond" w:hAnsi="Garamond"/>
          <w:sz w:val="26"/>
          <w:szCs w:val="26"/>
        </w:rPr>
        <w:t>“</w:t>
      </w:r>
      <w:r>
        <w:rPr>
          <w:rFonts w:ascii="Garamond" w:hAnsi="Garamond"/>
          <w:sz w:val="26"/>
          <w:szCs w:val="26"/>
        </w:rPr>
        <w:t>Maybe I should talk to a lawyer.</w:t>
      </w:r>
      <w:r w:rsidR="00740BC4">
        <w:rPr>
          <w:rFonts w:ascii="Garamond" w:hAnsi="Garamond"/>
          <w:sz w:val="26"/>
          <w:szCs w:val="26"/>
        </w:rPr>
        <w:t>”</w:t>
      </w:r>
      <w:r>
        <w:rPr>
          <w:rFonts w:ascii="Garamond" w:hAnsi="Garamond"/>
          <w:sz w:val="26"/>
          <w:szCs w:val="26"/>
        </w:rPr>
        <w:t xml:space="preserve"> One might think this would constitute an invo</w:t>
      </w:r>
      <w:r w:rsidR="00931555">
        <w:rPr>
          <w:rFonts w:ascii="Garamond" w:hAnsi="Garamond"/>
          <w:sz w:val="26"/>
          <w:szCs w:val="26"/>
        </w:rPr>
        <w:t>cation of his right to counsel</w:t>
      </w:r>
      <w:r>
        <w:rPr>
          <w:rFonts w:ascii="Garamond" w:hAnsi="Garamond"/>
          <w:sz w:val="26"/>
          <w:szCs w:val="26"/>
        </w:rPr>
        <w:t xml:space="preserve">. The Supreme Court, however, disagreed. </w:t>
      </w:r>
      <w:r w:rsidR="00931555">
        <w:rPr>
          <w:rFonts w:ascii="Garamond" w:hAnsi="Garamond"/>
          <w:sz w:val="26"/>
          <w:szCs w:val="26"/>
        </w:rPr>
        <w:t xml:space="preserve">They said, </w:t>
      </w:r>
      <w:r w:rsidR="00740BC4">
        <w:rPr>
          <w:rFonts w:ascii="Garamond" w:hAnsi="Garamond"/>
          <w:sz w:val="26"/>
          <w:szCs w:val="26"/>
        </w:rPr>
        <w:t>“</w:t>
      </w:r>
      <w:r w:rsidR="00931555" w:rsidRPr="00931555">
        <w:rPr>
          <w:rFonts w:ascii="Garamond" w:hAnsi="Garamond"/>
          <w:sz w:val="26"/>
          <w:szCs w:val="26"/>
        </w:rPr>
        <w:t xml:space="preserve">Although a suspect need </w:t>
      </w:r>
      <w:r w:rsidR="00931555">
        <w:rPr>
          <w:rFonts w:ascii="Garamond" w:hAnsi="Garamond"/>
          <w:sz w:val="26"/>
          <w:szCs w:val="26"/>
        </w:rPr>
        <w:t xml:space="preserve">not </w:t>
      </w:r>
      <w:r w:rsidR="00931555" w:rsidRPr="00931555">
        <w:rPr>
          <w:rFonts w:ascii="Garamond" w:hAnsi="Garamond"/>
          <w:sz w:val="26"/>
          <w:szCs w:val="26"/>
        </w:rPr>
        <w:t>speak with the di</w:t>
      </w:r>
      <w:r w:rsidR="00931555">
        <w:rPr>
          <w:rFonts w:ascii="Garamond" w:hAnsi="Garamond"/>
          <w:sz w:val="26"/>
          <w:szCs w:val="26"/>
        </w:rPr>
        <w:t xml:space="preserve">scrimination of an Oxford don . . . </w:t>
      </w:r>
      <w:r w:rsidR="00931555" w:rsidRPr="00931555">
        <w:rPr>
          <w:rFonts w:ascii="Garamond" w:hAnsi="Garamond"/>
          <w:sz w:val="26"/>
          <w:szCs w:val="26"/>
        </w:rPr>
        <w:t>he must articulate his desire to have counsel present sufficiently clearly that a reasonable police officer in the circumstances would understand the statement to be a request for an attorney.</w:t>
      </w:r>
      <w:r w:rsidR="00740BC4">
        <w:rPr>
          <w:rFonts w:ascii="Garamond" w:hAnsi="Garamond"/>
          <w:sz w:val="26"/>
          <w:szCs w:val="26"/>
        </w:rPr>
        <w:t>”</w:t>
      </w:r>
      <w:r w:rsidR="00931555">
        <w:rPr>
          <w:rFonts w:ascii="Garamond" w:hAnsi="Garamond"/>
          <w:sz w:val="26"/>
          <w:szCs w:val="26"/>
        </w:rPr>
        <w:t xml:space="preserve"> </w:t>
      </w:r>
      <w:r w:rsidR="00CD7442">
        <w:rPr>
          <w:rFonts w:ascii="Garamond" w:hAnsi="Garamond"/>
          <w:sz w:val="26"/>
          <w:szCs w:val="26"/>
        </w:rPr>
        <w:t>(</w:t>
      </w:r>
      <w:r w:rsidR="00CD7442" w:rsidRPr="00CD7442">
        <w:rPr>
          <w:rFonts w:ascii="Garamond" w:hAnsi="Garamond"/>
          <w:i/>
          <w:sz w:val="26"/>
          <w:szCs w:val="26"/>
        </w:rPr>
        <w:t>Davis</w:t>
      </w:r>
      <w:r w:rsidR="00CD7442">
        <w:rPr>
          <w:rFonts w:ascii="Garamond" w:hAnsi="Garamond"/>
          <w:sz w:val="26"/>
          <w:szCs w:val="26"/>
        </w:rPr>
        <w:t xml:space="preserve">, </w:t>
      </w:r>
      <w:r w:rsidR="00CD7442" w:rsidRPr="00CD7442">
        <w:rPr>
          <w:rFonts w:ascii="Garamond" w:hAnsi="Garamond"/>
          <w:i/>
          <w:sz w:val="26"/>
          <w:szCs w:val="26"/>
        </w:rPr>
        <w:t>supra</w:t>
      </w:r>
      <w:r w:rsidR="00CD7442">
        <w:rPr>
          <w:rFonts w:ascii="Garamond" w:hAnsi="Garamond"/>
          <w:sz w:val="26"/>
          <w:szCs w:val="26"/>
        </w:rPr>
        <w:t xml:space="preserve">, 512 U.S. at p. 459.) </w:t>
      </w:r>
      <w:r w:rsidR="00931555">
        <w:rPr>
          <w:rFonts w:ascii="Garamond" w:hAnsi="Garamond"/>
          <w:sz w:val="26"/>
          <w:szCs w:val="26"/>
        </w:rPr>
        <w:t xml:space="preserve">The court found that, </w:t>
      </w:r>
      <w:r w:rsidR="00740BC4">
        <w:rPr>
          <w:rFonts w:ascii="Garamond" w:hAnsi="Garamond"/>
          <w:sz w:val="26"/>
          <w:szCs w:val="26"/>
        </w:rPr>
        <w:t>“</w:t>
      </w:r>
      <w:r w:rsidR="00931555">
        <w:rPr>
          <w:rFonts w:ascii="Garamond" w:hAnsi="Garamond"/>
          <w:sz w:val="26"/>
          <w:szCs w:val="26"/>
        </w:rPr>
        <w:t>Maybe I should talk to a lawyer</w:t>
      </w:r>
      <w:r w:rsidR="00740BC4">
        <w:rPr>
          <w:rFonts w:ascii="Garamond" w:hAnsi="Garamond"/>
          <w:sz w:val="26"/>
          <w:szCs w:val="26"/>
        </w:rPr>
        <w:t>”</w:t>
      </w:r>
      <w:r w:rsidR="00931555">
        <w:rPr>
          <w:rFonts w:ascii="Garamond" w:hAnsi="Garamond"/>
          <w:sz w:val="26"/>
          <w:szCs w:val="26"/>
        </w:rPr>
        <w:t xml:space="preserve"> did not meet that standard.</w:t>
      </w:r>
    </w:p>
    <w:p w14:paraId="08F3F611" w14:textId="77777777" w:rsidR="00EB706E" w:rsidRDefault="0026713E" w:rsidP="00144DF5">
      <w:pPr>
        <w:rPr>
          <w:rFonts w:ascii="Garamond" w:hAnsi="Garamond"/>
          <w:sz w:val="26"/>
          <w:szCs w:val="26"/>
        </w:rPr>
      </w:pPr>
      <w:r>
        <w:rPr>
          <w:rFonts w:ascii="Garamond" w:hAnsi="Garamond"/>
          <w:sz w:val="26"/>
          <w:szCs w:val="26"/>
        </w:rPr>
        <w:t>Now, in all fairness to the court, the agents interviewing Mr. Davis asked him immediately if he was requesting a lawyer, and they said they would stop if he wanted one. He said he didn</w:t>
      </w:r>
      <w:r w:rsidR="00740BC4">
        <w:rPr>
          <w:rFonts w:ascii="Garamond" w:hAnsi="Garamond"/>
          <w:sz w:val="26"/>
          <w:szCs w:val="26"/>
        </w:rPr>
        <w:t>’</w:t>
      </w:r>
      <w:r>
        <w:rPr>
          <w:rFonts w:ascii="Garamond" w:hAnsi="Garamond"/>
          <w:sz w:val="26"/>
          <w:szCs w:val="26"/>
        </w:rPr>
        <w:t>t want a lawyer and then continued with the interview. So Mr. Davis wasn</w:t>
      </w:r>
      <w:r w:rsidR="00740BC4">
        <w:rPr>
          <w:rFonts w:ascii="Garamond" w:hAnsi="Garamond"/>
          <w:sz w:val="26"/>
          <w:szCs w:val="26"/>
        </w:rPr>
        <w:t>’</w:t>
      </w:r>
      <w:r>
        <w:rPr>
          <w:rFonts w:ascii="Garamond" w:hAnsi="Garamond"/>
          <w:sz w:val="26"/>
          <w:szCs w:val="26"/>
        </w:rPr>
        <w:t xml:space="preserve">t exactly diligent about pursuing his right to an attorney. But unfortunately, this case has spawned many others in which seemingly clear requests for an attorney have been glossed over. </w:t>
      </w:r>
    </w:p>
    <w:p w14:paraId="12338F6B" w14:textId="77777777" w:rsidR="0026713E" w:rsidRDefault="00931555" w:rsidP="00144DF5">
      <w:pPr>
        <w:rPr>
          <w:rFonts w:ascii="Garamond" w:hAnsi="Garamond"/>
          <w:sz w:val="26"/>
          <w:szCs w:val="26"/>
        </w:rPr>
      </w:pPr>
      <w:r>
        <w:rPr>
          <w:rFonts w:ascii="Garamond" w:hAnsi="Garamond"/>
          <w:sz w:val="26"/>
          <w:szCs w:val="26"/>
        </w:rPr>
        <w:t>Let</w:t>
      </w:r>
      <w:r w:rsidR="00740BC4">
        <w:rPr>
          <w:rFonts w:ascii="Garamond" w:hAnsi="Garamond"/>
          <w:sz w:val="26"/>
          <w:szCs w:val="26"/>
        </w:rPr>
        <w:t>’</w:t>
      </w:r>
      <w:r>
        <w:rPr>
          <w:rFonts w:ascii="Garamond" w:hAnsi="Garamond"/>
          <w:sz w:val="26"/>
          <w:szCs w:val="26"/>
        </w:rPr>
        <w:t xml:space="preserve">s take </w:t>
      </w:r>
      <w:r w:rsidR="00664451">
        <w:rPr>
          <w:rFonts w:ascii="Garamond" w:hAnsi="Garamond"/>
          <w:sz w:val="26"/>
          <w:szCs w:val="26"/>
        </w:rPr>
        <w:t>a</w:t>
      </w:r>
      <w:r>
        <w:rPr>
          <w:rFonts w:ascii="Garamond" w:hAnsi="Garamond"/>
          <w:sz w:val="26"/>
          <w:szCs w:val="26"/>
        </w:rPr>
        <w:t xml:space="preserve"> somewhat recent example: </w:t>
      </w:r>
      <w:r w:rsidRPr="00931555">
        <w:rPr>
          <w:rFonts w:ascii="Garamond" w:hAnsi="Garamond"/>
          <w:i/>
          <w:sz w:val="26"/>
          <w:szCs w:val="26"/>
        </w:rPr>
        <w:t>People v. Shamblin</w:t>
      </w:r>
      <w:r>
        <w:rPr>
          <w:rFonts w:ascii="Garamond" w:hAnsi="Garamond"/>
          <w:sz w:val="26"/>
          <w:szCs w:val="26"/>
        </w:rPr>
        <w:t xml:space="preserve"> (2015)</w:t>
      </w:r>
      <w:r w:rsidR="00CD7442">
        <w:rPr>
          <w:rFonts w:ascii="Garamond" w:hAnsi="Garamond"/>
          <w:sz w:val="26"/>
          <w:szCs w:val="26"/>
        </w:rPr>
        <w:t xml:space="preserve"> 236 Cal.App.</w:t>
      </w:r>
      <w:r w:rsidRPr="00931555">
        <w:rPr>
          <w:rFonts w:ascii="Garamond" w:hAnsi="Garamond"/>
          <w:sz w:val="26"/>
          <w:szCs w:val="26"/>
        </w:rPr>
        <w:t>4th 1</w:t>
      </w:r>
      <w:r>
        <w:rPr>
          <w:rFonts w:ascii="Garamond" w:hAnsi="Garamond"/>
          <w:sz w:val="26"/>
          <w:szCs w:val="26"/>
        </w:rPr>
        <w:t xml:space="preserve">. There, Mr. Shamblin was being questioned about a decades-old murder, and during the interview, he said, </w:t>
      </w:r>
      <w:r w:rsidR="00740BC4">
        <w:rPr>
          <w:rFonts w:ascii="Garamond" w:hAnsi="Garamond"/>
          <w:sz w:val="26"/>
          <w:szCs w:val="26"/>
        </w:rPr>
        <w:t>“</w:t>
      </w:r>
      <w:r w:rsidRPr="00931555">
        <w:rPr>
          <w:rFonts w:ascii="Garamond" w:hAnsi="Garamond"/>
          <w:sz w:val="26"/>
          <w:szCs w:val="26"/>
        </w:rPr>
        <w:t>I think I probably should change my mind about the lawyer now. I, I need advice here. Don</w:t>
      </w:r>
      <w:r w:rsidR="00740BC4">
        <w:rPr>
          <w:rFonts w:ascii="Garamond" w:hAnsi="Garamond"/>
          <w:sz w:val="26"/>
          <w:szCs w:val="26"/>
        </w:rPr>
        <w:t>’</w:t>
      </w:r>
      <w:r w:rsidRPr="00931555">
        <w:rPr>
          <w:rFonts w:ascii="Garamond" w:hAnsi="Garamond"/>
          <w:sz w:val="26"/>
          <w:szCs w:val="26"/>
        </w:rPr>
        <w:t>t you guys think I need some advice here? I think I need some advice here</w:t>
      </w:r>
      <w:r>
        <w:rPr>
          <w:rFonts w:ascii="Garamond" w:hAnsi="Garamond"/>
          <w:sz w:val="26"/>
          <w:szCs w:val="26"/>
        </w:rPr>
        <w:t>.</w:t>
      </w:r>
      <w:r w:rsidR="00740BC4">
        <w:rPr>
          <w:rFonts w:ascii="Garamond" w:hAnsi="Garamond"/>
          <w:sz w:val="26"/>
          <w:szCs w:val="26"/>
        </w:rPr>
        <w:t>”</w:t>
      </w:r>
      <w:r>
        <w:rPr>
          <w:rFonts w:ascii="Garamond" w:hAnsi="Garamond"/>
          <w:sz w:val="26"/>
          <w:szCs w:val="26"/>
        </w:rPr>
        <w:t xml:space="preserve"> The </w:t>
      </w:r>
      <w:r>
        <w:rPr>
          <w:rFonts w:ascii="Garamond" w:hAnsi="Garamond"/>
          <w:sz w:val="26"/>
          <w:szCs w:val="26"/>
        </w:rPr>
        <w:lastRenderedPageBreak/>
        <w:t xml:space="preserve">Fourth District Court of Appeal found that this was an ambiguous request for counsel. Why was it ambiguous? Because </w:t>
      </w:r>
      <w:r w:rsidR="00923B8D">
        <w:rPr>
          <w:rFonts w:ascii="Garamond" w:hAnsi="Garamond"/>
          <w:sz w:val="26"/>
          <w:szCs w:val="26"/>
        </w:rPr>
        <w:t>Mr. Shamblin</w:t>
      </w:r>
      <w:r>
        <w:rPr>
          <w:rFonts w:ascii="Garamond" w:hAnsi="Garamond"/>
          <w:sz w:val="26"/>
          <w:szCs w:val="26"/>
        </w:rPr>
        <w:t xml:space="preserve"> used </w:t>
      </w:r>
      <w:r w:rsidR="00740BC4">
        <w:rPr>
          <w:rFonts w:ascii="Garamond" w:hAnsi="Garamond"/>
          <w:sz w:val="26"/>
          <w:szCs w:val="26"/>
        </w:rPr>
        <w:t>“</w:t>
      </w:r>
      <w:r>
        <w:rPr>
          <w:rFonts w:ascii="Garamond" w:hAnsi="Garamond"/>
          <w:sz w:val="26"/>
          <w:szCs w:val="26"/>
        </w:rPr>
        <w:t>language that is conditional (</w:t>
      </w:r>
      <w:r w:rsidR="00740BC4">
        <w:rPr>
          <w:rFonts w:ascii="Garamond" w:hAnsi="Garamond"/>
          <w:sz w:val="26"/>
          <w:szCs w:val="26"/>
        </w:rPr>
        <w:t>‘</w:t>
      </w:r>
      <w:r>
        <w:rPr>
          <w:rFonts w:ascii="Garamond" w:hAnsi="Garamond"/>
          <w:sz w:val="26"/>
          <w:szCs w:val="26"/>
        </w:rPr>
        <w:t>should</w:t>
      </w:r>
      <w:r w:rsidR="00740BC4">
        <w:rPr>
          <w:rFonts w:ascii="Garamond" w:hAnsi="Garamond"/>
          <w:sz w:val="26"/>
          <w:szCs w:val="26"/>
        </w:rPr>
        <w:t>’</w:t>
      </w:r>
      <w:r>
        <w:rPr>
          <w:rFonts w:ascii="Garamond" w:hAnsi="Garamond"/>
          <w:sz w:val="26"/>
          <w:szCs w:val="26"/>
        </w:rPr>
        <w:t>) and equivocal (</w:t>
      </w:r>
      <w:r w:rsidR="00740BC4">
        <w:rPr>
          <w:rFonts w:ascii="Garamond" w:hAnsi="Garamond"/>
          <w:sz w:val="26"/>
          <w:szCs w:val="26"/>
        </w:rPr>
        <w:t>‘</w:t>
      </w:r>
      <w:r>
        <w:rPr>
          <w:rFonts w:ascii="Garamond" w:hAnsi="Garamond"/>
          <w:sz w:val="26"/>
          <w:szCs w:val="26"/>
        </w:rPr>
        <w:t>I think</w:t>
      </w:r>
      <w:r w:rsidR="00740BC4">
        <w:rPr>
          <w:rFonts w:ascii="Garamond" w:hAnsi="Garamond"/>
          <w:sz w:val="26"/>
          <w:szCs w:val="26"/>
        </w:rPr>
        <w:t>’</w:t>
      </w:r>
      <w:r>
        <w:rPr>
          <w:rFonts w:ascii="Garamond" w:hAnsi="Garamond"/>
          <w:sz w:val="26"/>
          <w:szCs w:val="26"/>
        </w:rPr>
        <w:t xml:space="preserve"> and </w:t>
      </w:r>
      <w:r w:rsidR="00740BC4">
        <w:rPr>
          <w:rFonts w:ascii="Garamond" w:hAnsi="Garamond"/>
          <w:sz w:val="26"/>
          <w:szCs w:val="26"/>
        </w:rPr>
        <w:t>‘</w:t>
      </w:r>
      <w:r>
        <w:rPr>
          <w:rFonts w:ascii="Garamond" w:hAnsi="Garamond"/>
          <w:sz w:val="26"/>
          <w:szCs w:val="26"/>
        </w:rPr>
        <w:t>probably</w:t>
      </w:r>
      <w:r w:rsidR="00740BC4">
        <w:rPr>
          <w:rFonts w:ascii="Garamond" w:hAnsi="Garamond"/>
          <w:sz w:val="26"/>
          <w:szCs w:val="26"/>
        </w:rPr>
        <w:t>’</w:t>
      </w:r>
      <w:r w:rsidRPr="00931555">
        <w:rPr>
          <w:rFonts w:ascii="Garamond" w:hAnsi="Garamond"/>
          <w:sz w:val="26"/>
          <w:szCs w:val="26"/>
        </w:rPr>
        <w:t>)</w:t>
      </w:r>
      <w:r>
        <w:rPr>
          <w:rFonts w:ascii="Garamond" w:hAnsi="Garamond"/>
          <w:sz w:val="26"/>
          <w:szCs w:val="26"/>
        </w:rPr>
        <w:t>.</w:t>
      </w:r>
      <w:r w:rsidR="00740BC4">
        <w:rPr>
          <w:rFonts w:ascii="Garamond" w:hAnsi="Garamond"/>
          <w:sz w:val="26"/>
          <w:szCs w:val="26"/>
        </w:rPr>
        <w:t>”</w:t>
      </w:r>
      <w:r>
        <w:rPr>
          <w:rFonts w:ascii="Garamond" w:hAnsi="Garamond"/>
          <w:sz w:val="26"/>
          <w:szCs w:val="26"/>
        </w:rPr>
        <w:t xml:space="preserve"> </w:t>
      </w:r>
      <w:r w:rsidR="00CD7442">
        <w:rPr>
          <w:rFonts w:ascii="Garamond" w:hAnsi="Garamond"/>
          <w:sz w:val="26"/>
          <w:szCs w:val="26"/>
        </w:rPr>
        <w:t>(</w:t>
      </w:r>
      <w:r w:rsidR="00CD7442" w:rsidRPr="00CD7442">
        <w:rPr>
          <w:rFonts w:ascii="Garamond" w:hAnsi="Garamond"/>
          <w:i/>
          <w:sz w:val="26"/>
          <w:szCs w:val="26"/>
        </w:rPr>
        <w:t>Id</w:t>
      </w:r>
      <w:r w:rsidR="00CD7442">
        <w:rPr>
          <w:rFonts w:ascii="Garamond" w:hAnsi="Garamond"/>
          <w:sz w:val="26"/>
          <w:szCs w:val="26"/>
        </w:rPr>
        <w:t>. at p. 20.)</w:t>
      </w:r>
    </w:p>
    <w:p w14:paraId="5F11B9E9" w14:textId="77777777" w:rsidR="00931555" w:rsidRDefault="00931555" w:rsidP="00144DF5">
      <w:pPr>
        <w:rPr>
          <w:rFonts w:ascii="Garamond" w:hAnsi="Garamond"/>
          <w:sz w:val="26"/>
          <w:szCs w:val="26"/>
        </w:rPr>
      </w:pPr>
      <w:r>
        <w:rPr>
          <w:rFonts w:ascii="Garamond" w:hAnsi="Garamond"/>
          <w:sz w:val="26"/>
          <w:szCs w:val="26"/>
        </w:rPr>
        <w:t xml:space="preserve">The reason this opinion </w:t>
      </w:r>
      <w:r w:rsidR="007412B3">
        <w:rPr>
          <w:rFonts w:ascii="Garamond" w:hAnsi="Garamond"/>
          <w:sz w:val="26"/>
          <w:szCs w:val="26"/>
        </w:rPr>
        <w:t>probably bothers you so much</w:t>
      </w:r>
      <w:r>
        <w:rPr>
          <w:rFonts w:ascii="Garamond" w:hAnsi="Garamond"/>
          <w:sz w:val="26"/>
          <w:szCs w:val="26"/>
        </w:rPr>
        <w:t xml:space="preserve"> is that it </w:t>
      </w:r>
      <w:r w:rsidR="007412B3">
        <w:rPr>
          <w:rFonts w:ascii="Garamond" w:hAnsi="Garamond"/>
          <w:sz w:val="26"/>
          <w:szCs w:val="26"/>
        </w:rPr>
        <w:t>conflicts both</w:t>
      </w:r>
      <w:r>
        <w:rPr>
          <w:rFonts w:ascii="Garamond" w:hAnsi="Garamond"/>
          <w:sz w:val="26"/>
          <w:szCs w:val="26"/>
        </w:rPr>
        <w:t xml:space="preserve"> </w:t>
      </w:r>
      <w:r w:rsidR="00E731BF">
        <w:rPr>
          <w:rFonts w:ascii="Garamond" w:hAnsi="Garamond"/>
          <w:sz w:val="26"/>
          <w:szCs w:val="26"/>
        </w:rPr>
        <w:t xml:space="preserve">with our everyday experience as speakers of </w:t>
      </w:r>
      <w:r w:rsidR="007412B3">
        <w:rPr>
          <w:rFonts w:ascii="Garamond" w:hAnsi="Garamond"/>
          <w:sz w:val="26"/>
          <w:szCs w:val="26"/>
        </w:rPr>
        <w:t xml:space="preserve">the </w:t>
      </w:r>
      <w:r w:rsidR="00E731BF">
        <w:rPr>
          <w:rFonts w:ascii="Garamond" w:hAnsi="Garamond"/>
          <w:sz w:val="26"/>
          <w:szCs w:val="26"/>
        </w:rPr>
        <w:t>English</w:t>
      </w:r>
      <w:r w:rsidR="007412B3">
        <w:rPr>
          <w:rFonts w:ascii="Garamond" w:hAnsi="Garamond"/>
          <w:sz w:val="26"/>
          <w:szCs w:val="26"/>
        </w:rPr>
        <w:t xml:space="preserve"> language </w:t>
      </w:r>
      <w:r w:rsidR="00E731BF">
        <w:rPr>
          <w:rFonts w:ascii="Garamond" w:hAnsi="Garamond"/>
          <w:sz w:val="26"/>
          <w:szCs w:val="26"/>
        </w:rPr>
        <w:t xml:space="preserve">and </w:t>
      </w:r>
      <w:r>
        <w:rPr>
          <w:rFonts w:ascii="Garamond" w:hAnsi="Garamond"/>
          <w:sz w:val="26"/>
          <w:szCs w:val="26"/>
        </w:rPr>
        <w:t xml:space="preserve">with </w:t>
      </w:r>
      <w:r w:rsidRPr="00931555">
        <w:rPr>
          <w:rFonts w:ascii="Garamond" w:hAnsi="Garamond"/>
          <w:i/>
          <w:sz w:val="26"/>
          <w:szCs w:val="26"/>
        </w:rPr>
        <w:t>Davis</w:t>
      </w:r>
      <w:r>
        <w:rPr>
          <w:rFonts w:ascii="Garamond" w:hAnsi="Garamond"/>
          <w:sz w:val="26"/>
          <w:szCs w:val="26"/>
        </w:rPr>
        <w:t xml:space="preserve">. The standard under </w:t>
      </w:r>
      <w:r w:rsidRPr="00E731BF">
        <w:rPr>
          <w:rFonts w:ascii="Garamond" w:hAnsi="Garamond"/>
          <w:i/>
          <w:sz w:val="26"/>
          <w:szCs w:val="26"/>
        </w:rPr>
        <w:t>Davis</w:t>
      </w:r>
      <w:r>
        <w:rPr>
          <w:rFonts w:ascii="Garamond" w:hAnsi="Garamond"/>
          <w:sz w:val="26"/>
          <w:szCs w:val="26"/>
        </w:rPr>
        <w:t xml:space="preserve"> is whether </w:t>
      </w:r>
      <w:r w:rsidR="00740BC4">
        <w:rPr>
          <w:rFonts w:ascii="Garamond" w:hAnsi="Garamond"/>
          <w:sz w:val="26"/>
          <w:szCs w:val="26"/>
        </w:rPr>
        <w:t>“</w:t>
      </w:r>
      <w:r w:rsidRPr="00931555">
        <w:rPr>
          <w:rFonts w:ascii="Garamond" w:hAnsi="Garamond"/>
          <w:sz w:val="26"/>
          <w:szCs w:val="26"/>
        </w:rPr>
        <w:t>a reasonable police officer in the circumstances would understand the statement to be a request for an attorney</w:t>
      </w:r>
      <w:r>
        <w:rPr>
          <w:rFonts w:ascii="Garamond" w:hAnsi="Garamond"/>
          <w:sz w:val="26"/>
          <w:szCs w:val="26"/>
        </w:rPr>
        <w:t>.</w:t>
      </w:r>
      <w:r w:rsidR="00740BC4">
        <w:rPr>
          <w:rFonts w:ascii="Garamond" w:hAnsi="Garamond"/>
          <w:sz w:val="26"/>
          <w:szCs w:val="26"/>
        </w:rPr>
        <w:t>”</w:t>
      </w:r>
      <w:r>
        <w:rPr>
          <w:rFonts w:ascii="Garamond" w:hAnsi="Garamond"/>
          <w:sz w:val="26"/>
          <w:szCs w:val="26"/>
        </w:rPr>
        <w:t xml:space="preserve"> </w:t>
      </w:r>
      <w:r w:rsidR="00CD7442">
        <w:rPr>
          <w:rFonts w:ascii="Garamond" w:hAnsi="Garamond"/>
          <w:sz w:val="26"/>
          <w:szCs w:val="26"/>
        </w:rPr>
        <w:t>(</w:t>
      </w:r>
      <w:r w:rsidR="00CD7442" w:rsidRPr="00CD7442">
        <w:rPr>
          <w:rFonts w:ascii="Garamond" w:hAnsi="Garamond"/>
          <w:i/>
          <w:sz w:val="26"/>
          <w:szCs w:val="26"/>
        </w:rPr>
        <w:t>Davis</w:t>
      </w:r>
      <w:r w:rsidR="00CD7442">
        <w:rPr>
          <w:rFonts w:ascii="Garamond" w:hAnsi="Garamond"/>
          <w:sz w:val="26"/>
          <w:szCs w:val="26"/>
        </w:rPr>
        <w:t xml:space="preserve">, </w:t>
      </w:r>
      <w:r w:rsidR="00CD7442" w:rsidRPr="00CD7442">
        <w:rPr>
          <w:rFonts w:ascii="Garamond" w:hAnsi="Garamond"/>
          <w:i/>
          <w:sz w:val="26"/>
          <w:szCs w:val="26"/>
        </w:rPr>
        <w:t>supra</w:t>
      </w:r>
      <w:r w:rsidR="00CD7442">
        <w:rPr>
          <w:rFonts w:ascii="Garamond" w:hAnsi="Garamond"/>
          <w:sz w:val="26"/>
          <w:szCs w:val="26"/>
        </w:rPr>
        <w:t xml:space="preserve">, 512 U.S. at p. 459.) </w:t>
      </w:r>
      <w:r>
        <w:rPr>
          <w:rFonts w:ascii="Garamond" w:hAnsi="Garamond"/>
          <w:sz w:val="26"/>
          <w:szCs w:val="26"/>
        </w:rPr>
        <w:t>So the way the courts are meant to measure ambiguity is by considering how a reasonable police officer would understand the request. I don</w:t>
      </w:r>
      <w:r w:rsidR="00740BC4">
        <w:rPr>
          <w:rFonts w:ascii="Garamond" w:hAnsi="Garamond"/>
          <w:sz w:val="26"/>
          <w:szCs w:val="26"/>
        </w:rPr>
        <w:t>’</w:t>
      </w:r>
      <w:r>
        <w:rPr>
          <w:rFonts w:ascii="Garamond" w:hAnsi="Garamond"/>
          <w:sz w:val="26"/>
          <w:szCs w:val="26"/>
        </w:rPr>
        <w:t>t see how a reasonable police officer would necessarily differ from a reasonable person, so essentially this is a reasonable-person test.</w:t>
      </w:r>
      <w:r w:rsidR="004743A8">
        <w:rPr>
          <w:rFonts w:ascii="Garamond" w:hAnsi="Garamond"/>
          <w:sz w:val="26"/>
          <w:szCs w:val="26"/>
        </w:rPr>
        <w:t xml:space="preserve"> How would a reasonable person understand the suspect</w:t>
      </w:r>
      <w:r w:rsidR="00740BC4">
        <w:rPr>
          <w:rFonts w:ascii="Garamond" w:hAnsi="Garamond"/>
          <w:sz w:val="26"/>
          <w:szCs w:val="26"/>
        </w:rPr>
        <w:t>’</w:t>
      </w:r>
      <w:r w:rsidR="004743A8">
        <w:rPr>
          <w:rFonts w:ascii="Garamond" w:hAnsi="Garamond"/>
          <w:sz w:val="26"/>
          <w:szCs w:val="26"/>
        </w:rPr>
        <w:t>s statements?</w:t>
      </w:r>
      <w:r>
        <w:rPr>
          <w:rFonts w:ascii="Garamond" w:hAnsi="Garamond"/>
          <w:sz w:val="26"/>
          <w:szCs w:val="26"/>
        </w:rPr>
        <w:t xml:space="preserve"> And this is where the social science comes in.</w:t>
      </w:r>
    </w:p>
    <w:p w14:paraId="461608C5" w14:textId="77777777" w:rsidR="004743A8" w:rsidRDefault="004743A8" w:rsidP="00144DF5">
      <w:pPr>
        <w:rPr>
          <w:rFonts w:ascii="Garamond" w:hAnsi="Garamond"/>
          <w:sz w:val="26"/>
          <w:szCs w:val="26"/>
        </w:rPr>
      </w:pPr>
      <w:r>
        <w:rPr>
          <w:rFonts w:ascii="Garamond" w:hAnsi="Garamond"/>
          <w:sz w:val="26"/>
          <w:szCs w:val="26"/>
        </w:rPr>
        <w:t>There is a lot of research out there about how people use language. Take the following example: You go to a restaurant. The server asks what you would like to order</w:t>
      </w:r>
      <w:r w:rsidR="00923B8D">
        <w:rPr>
          <w:rFonts w:ascii="Garamond" w:hAnsi="Garamond"/>
          <w:sz w:val="26"/>
          <w:szCs w:val="26"/>
        </w:rPr>
        <w:t>, and</w:t>
      </w:r>
      <w:r>
        <w:rPr>
          <w:rFonts w:ascii="Garamond" w:hAnsi="Garamond"/>
          <w:sz w:val="26"/>
          <w:szCs w:val="26"/>
        </w:rPr>
        <w:t xml:space="preserve"> you reply with one of the following:</w:t>
      </w:r>
    </w:p>
    <w:p w14:paraId="565B4156" w14:textId="77777777" w:rsidR="004743A8" w:rsidRDefault="00740BC4" w:rsidP="00144DF5">
      <w:pPr>
        <w:pStyle w:val="ListParagraph"/>
        <w:numPr>
          <w:ilvl w:val="0"/>
          <w:numId w:val="4"/>
        </w:numPr>
        <w:ind w:left="720"/>
        <w:rPr>
          <w:rFonts w:ascii="Garamond" w:hAnsi="Garamond"/>
          <w:sz w:val="26"/>
          <w:szCs w:val="26"/>
        </w:rPr>
      </w:pPr>
      <w:r>
        <w:rPr>
          <w:rFonts w:ascii="Garamond" w:hAnsi="Garamond"/>
          <w:sz w:val="26"/>
          <w:szCs w:val="26"/>
        </w:rPr>
        <w:t>“</w:t>
      </w:r>
      <w:r w:rsidR="004743A8">
        <w:rPr>
          <w:rFonts w:ascii="Garamond" w:hAnsi="Garamond"/>
          <w:sz w:val="26"/>
          <w:szCs w:val="26"/>
        </w:rPr>
        <w:t xml:space="preserve">Can I have the </w:t>
      </w:r>
      <w:r w:rsidR="00344B19">
        <w:rPr>
          <w:rFonts w:ascii="Garamond" w:hAnsi="Garamond"/>
          <w:sz w:val="26"/>
          <w:szCs w:val="26"/>
        </w:rPr>
        <w:t>salad</w:t>
      </w:r>
      <w:r w:rsidR="004743A8">
        <w:rPr>
          <w:rFonts w:ascii="Garamond" w:hAnsi="Garamond"/>
          <w:sz w:val="26"/>
          <w:szCs w:val="26"/>
        </w:rPr>
        <w:t>?</w:t>
      </w:r>
      <w:r>
        <w:rPr>
          <w:rFonts w:ascii="Garamond" w:hAnsi="Garamond"/>
          <w:sz w:val="26"/>
          <w:szCs w:val="26"/>
        </w:rPr>
        <w:t>”</w:t>
      </w:r>
    </w:p>
    <w:p w14:paraId="05E65CEF" w14:textId="77777777" w:rsidR="004743A8" w:rsidRDefault="00740BC4" w:rsidP="00144DF5">
      <w:pPr>
        <w:pStyle w:val="ListParagraph"/>
        <w:numPr>
          <w:ilvl w:val="0"/>
          <w:numId w:val="4"/>
        </w:numPr>
        <w:ind w:left="720"/>
        <w:rPr>
          <w:rFonts w:ascii="Garamond" w:hAnsi="Garamond"/>
          <w:sz w:val="26"/>
          <w:szCs w:val="26"/>
        </w:rPr>
      </w:pPr>
      <w:r>
        <w:rPr>
          <w:rFonts w:ascii="Garamond" w:hAnsi="Garamond"/>
          <w:sz w:val="26"/>
          <w:szCs w:val="26"/>
        </w:rPr>
        <w:t>“</w:t>
      </w:r>
      <w:r w:rsidR="004743A8">
        <w:rPr>
          <w:rFonts w:ascii="Garamond" w:hAnsi="Garamond"/>
          <w:sz w:val="26"/>
          <w:szCs w:val="26"/>
        </w:rPr>
        <w:t>I think I</w:t>
      </w:r>
      <w:r>
        <w:rPr>
          <w:rFonts w:ascii="Garamond" w:hAnsi="Garamond"/>
          <w:sz w:val="26"/>
          <w:szCs w:val="26"/>
        </w:rPr>
        <w:t>’</w:t>
      </w:r>
      <w:r w:rsidR="004743A8">
        <w:rPr>
          <w:rFonts w:ascii="Garamond" w:hAnsi="Garamond"/>
          <w:sz w:val="26"/>
          <w:szCs w:val="26"/>
        </w:rPr>
        <w:t xml:space="preserve">ll go with the </w:t>
      </w:r>
      <w:r w:rsidR="00344B19">
        <w:rPr>
          <w:rFonts w:ascii="Garamond" w:hAnsi="Garamond"/>
          <w:sz w:val="26"/>
          <w:szCs w:val="26"/>
        </w:rPr>
        <w:t>salad</w:t>
      </w:r>
      <w:r w:rsidR="004743A8">
        <w:rPr>
          <w:rFonts w:ascii="Garamond" w:hAnsi="Garamond"/>
          <w:sz w:val="26"/>
          <w:szCs w:val="26"/>
        </w:rPr>
        <w:t>.</w:t>
      </w:r>
      <w:r>
        <w:rPr>
          <w:rFonts w:ascii="Garamond" w:hAnsi="Garamond"/>
          <w:sz w:val="26"/>
          <w:szCs w:val="26"/>
        </w:rPr>
        <w:t>”</w:t>
      </w:r>
      <w:r w:rsidR="004743A8">
        <w:rPr>
          <w:rFonts w:ascii="Garamond" w:hAnsi="Garamond"/>
          <w:sz w:val="26"/>
          <w:szCs w:val="26"/>
        </w:rPr>
        <w:t xml:space="preserve"> </w:t>
      </w:r>
    </w:p>
    <w:p w14:paraId="7187E462" w14:textId="77777777" w:rsidR="004743A8" w:rsidRDefault="00740BC4" w:rsidP="00144DF5">
      <w:pPr>
        <w:pStyle w:val="ListParagraph"/>
        <w:numPr>
          <w:ilvl w:val="0"/>
          <w:numId w:val="4"/>
        </w:numPr>
        <w:ind w:left="720"/>
        <w:rPr>
          <w:rFonts w:ascii="Garamond" w:hAnsi="Garamond"/>
          <w:sz w:val="26"/>
          <w:szCs w:val="26"/>
        </w:rPr>
      </w:pPr>
      <w:r>
        <w:rPr>
          <w:rFonts w:ascii="Garamond" w:hAnsi="Garamond"/>
          <w:sz w:val="26"/>
          <w:szCs w:val="26"/>
        </w:rPr>
        <w:t>“</w:t>
      </w:r>
      <w:r w:rsidR="004743A8">
        <w:rPr>
          <w:rFonts w:ascii="Garamond" w:hAnsi="Garamond"/>
          <w:sz w:val="26"/>
          <w:szCs w:val="26"/>
        </w:rPr>
        <w:t>I</w:t>
      </w:r>
      <w:r w:rsidR="00E731BF">
        <w:rPr>
          <w:rFonts w:ascii="Garamond" w:hAnsi="Garamond"/>
          <w:sz w:val="26"/>
          <w:szCs w:val="26"/>
        </w:rPr>
        <w:t xml:space="preserve"> </w:t>
      </w:r>
      <w:r w:rsidR="004743A8">
        <w:rPr>
          <w:rFonts w:ascii="Garamond" w:hAnsi="Garamond"/>
          <w:sz w:val="26"/>
          <w:szCs w:val="26"/>
        </w:rPr>
        <w:t xml:space="preserve">should </w:t>
      </w:r>
      <w:r w:rsidR="00E731BF">
        <w:rPr>
          <w:rFonts w:ascii="Garamond" w:hAnsi="Garamond"/>
          <w:sz w:val="26"/>
          <w:szCs w:val="26"/>
        </w:rPr>
        <w:t>have</w:t>
      </w:r>
      <w:r w:rsidR="004743A8">
        <w:rPr>
          <w:rFonts w:ascii="Garamond" w:hAnsi="Garamond"/>
          <w:sz w:val="26"/>
          <w:szCs w:val="26"/>
        </w:rPr>
        <w:t xml:space="preserve"> the </w:t>
      </w:r>
      <w:r w:rsidR="00344B19">
        <w:rPr>
          <w:rFonts w:ascii="Garamond" w:hAnsi="Garamond"/>
          <w:sz w:val="26"/>
          <w:szCs w:val="26"/>
        </w:rPr>
        <w:t>salad</w:t>
      </w:r>
      <w:r w:rsidR="004743A8">
        <w:rPr>
          <w:rFonts w:ascii="Garamond" w:hAnsi="Garamond"/>
          <w:sz w:val="26"/>
          <w:szCs w:val="26"/>
        </w:rPr>
        <w:t>.</w:t>
      </w:r>
      <w:r>
        <w:rPr>
          <w:rFonts w:ascii="Garamond" w:hAnsi="Garamond"/>
          <w:sz w:val="26"/>
          <w:szCs w:val="26"/>
        </w:rPr>
        <w:t>”</w:t>
      </w:r>
      <w:r w:rsidR="004743A8">
        <w:rPr>
          <w:rFonts w:ascii="Garamond" w:hAnsi="Garamond"/>
          <w:sz w:val="26"/>
          <w:szCs w:val="26"/>
        </w:rPr>
        <w:t xml:space="preserve"> </w:t>
      </w:r>
    </w:p>
    <w:p w14:paraId="05518036" w14:textId="77777777" w:rsidR="00344B19" w:rsidRDefault="004743A8" w:rsidP="004743A8">
      <w:pPr>
        <w:rPr>
          <w:rFonts w:ascii="Garamond" w:hAnsi="Garamond"/>
          <w:sz w:val="26"/>
          <w:szCs w:val="26"/>
        </w:rPr>
      </w:pPr>
      <w:r>
        <w:rPr>
          <w:rFonts w:ascii="Garamond" w:hAnsi="Garamond"/>
          <w:sz w:val="26"/>
          <w:szCs w:val="26"/>
        </w:rPr>
        <w:t xml:space="preserve">If, after a half hour or so, you flagged down the server because you had not gotten your </w:t>
      </w:r>
      <w:r w:rsidR="00344B19">
        <w:rPr>
          <w:rFonts w:ascii="Garamond" w:hAnsi="Garamond"/>
          <w:sz w:val="26"/>
          <w:szCs w:val="26"/>
        </w:rPr>
        <w:t>salad</w:t>
      </w:r>
      <w:r>
        <w:rPr>
          <w:rFonts w:ascii="Garamond" w:hAnsi="Garamond"/>
          <w:sz w:val="26"/>
          <w:szCs w:val="26"/>
        </w:rPr>
        <w:t xml:space="preserve"> and the server replied, </w:t>
      </w:r>
      <w:r w:rsidR="00740BC4">
        <w:rPr>
          <w:rFonts w:ascii="Garamond" w:hAnsi="Garamond"/>
          <w:sz w:val="26"/>
          <w:szCs w:val="26"/>
        </w:rPr>
        <w:t>“</w:t>
      </w:r>
      <w:r>
        <w:rPr>
          <w:rFonts w:ascii="Garamond" w:hAnsi="Garamond"/>
          <w:sz w:val="26"/>
          <w:szCs w:val="26"/>
        </w:rPr>
        <w:t xml:space="preserve">Oh, did you want to </w:t>
      </w:r>
      <w:r w:rsidRPr="004743A8">
        <w:rPr>
          <w:rFonts w:ascii="Garamond" w:hAnsi="Garamond"/>
          <w:i/>
          <w:sz w:val="26"/>
          <w:szCs w:val="26"/>
        </w:rPr>
        <w:t>order</w:t>
      </w:r>
      <w:r>
        <w:rPr>
          <w:rFonts w:ascii="Garamond" w:hAnsi="Garamond"/>
          <w:sz w:val="26"/>
          <w:szCs w:val="26"/>
        </w:rPr>
        <w:t xml:space="preserve"> the </w:t>
      </w:r>
      <w:r w:rsidR="00344B19">
        <w:rPr>
          <w:rFonts w:ascii="Garamond" w:hAnsi="Garamond"/>
          <w:sz w:val="26"/>
          <w:szCs w:val="26"/>
        </w:rPr>
        <w:t>salad</w:t>
      </w:r>
      <w:r>
        <w:rPr>
          <w:rFonts w:ascii="Garamond" w:hAnsi="Garamond"/>
          <w:sz w:val="26"/>
          <w:szCs w:val="26"/>
        </w:rPr>
        <w:t>? Your statement was ambiguous,</w:t>
      </w:r>
      <w:r w:rsidR="00740BC4">
        <w:rPr>
          <w:rFonts w:ascii="Garamond" w:hAnsi="Garamond"/>
          <w:sz w:val="26"/>
          <w:szCs w:val="26"/>
        </w:rPr>
        <w:t>”</w:t>
      </w:r>
      <w:r>
        <w:rPr>
          <w:rFonts w:ascii="Garamond" w:hAnsi="Garamond"/>
          <w:sz w:val="26"/>
          <w:szCs w:val="26"/>
        </w:rPr>
        <w:t xml:space="preserve"> you</w:t>
      </w:r>
      <w:r w:rsidR="00740BC4">
        <w:rPr>
          <w:rFonts w:ascii="Garamond" w:hAnsi="Garamond"/>
          <w:sz w:val="26"/>
          <w:szCs w:val="26"/>
        </w:rPr>
        <w:t>’</w:t>
      </w:r>
      <w:r>
        <w:rPr>
          <w:rFonts w:ascii="Garamond" w:hAnsi="Garamond"/>
          <w:sz w:val="26"/>
          <w:szCs w:val="26"/>
        </w:rPr>
        <w:t>d probably</w:t>
      </w:r>
      <w:r w:rsidR="00E731BF">
        <w:rPr>
          <w:rFonts w:ascii="Garamond" w:hAnsi="Garamond"/>
          <w:sz w:val="26"/>
          <w:szCs w:val="26"/>
        </w:rPr>
        <w:t xml:space="preserve"> </w:t>
      </w:r>
      <w:r w:rsidR="00344B19">
        <w:rPr>
          <w:rFonts w:ascii="Garamond" w:hAnsi="Garamond"/>
          <w:sz w:val="26"/>
          <w:szCs w:val="26"/>
        </w:rPr>
        <w:t xml:space="preserve">tell </w:t>
      </w:r>
      <w:r w:rsidR="00CD7442">
        <w:rPr>
          <w:rFonts w:ascii="Garamond" w:hAnsi="Garamond"/>
          <w:sz w:val="26"/>
          <w:szCs w:val="26"/>
        </w:rPr>
        <w:t>the server</w:t>
      </w:r>
      <w:r w:rsidR="00344B19">
        <w:rPr>
          <w:rFonts w:ascii="Garamond" w:hAnsi="Garamond"/>
          <w:sz w:val="26"/>
          <w:szCs w:val="26"/>
        </w:rPr>
        <w:t xml:space="preserve"> where to go and how to get there.</w:t>
      </w:r>
      <w:r>
        <w:rPr>
          <w:rFonts w:ascii="Garamond" w:hAnsi="Garamond"/>
          <w:sz w:val="26"/>
          <w:szCs w:val="26"/>
        </w:rPr>
        <w:t xml:space="preserve"> </w:t>
      </w:r>
    </w:p>
    <w:p w14:paraId="22B04DCB" w14:textId="77777777" w:rsidR="00344B19" w:rsidRDefault="00923B8D" w:rsidP="00144DF5">
      <w:pPr>
        <w:rPr>
          <w:rFonts w:ascii="Garamond" w:hAnsi="Garamond"/>
          <w:sz w:val="26"/>
          <w:szCs w:val="26"/>
        </w:rPr>
      </w:pPr>
      <w:r>
        <w:rPr>
          <w:rFonts w:ascii="Garamond" w:hAnsi="Garamond"/>
          <w:sz w:val="26"/>
          <w:szCs w:val="26"/>
        </w:rPr>
        <w:t xml:space="preserve">And you would be right! </w:t>
      </w:r>
      <w:r w:rsidR="00CD7442">
        <w:rPr>
          <w:rFonts w:ascii="Garamond" w:hAnsi="Garamond"/>
          <w:sz w:val="26"/>
          <w:szCs w:val="26"/>
        </w:rPr>
        <w:t>It</w:t>
      </w:r>
      <w:r w:rsidR="004743A8">
        <w:rPr>
          <w:rFonts w:ascii="Garamond" w:hAnsi="Garamond"/>
          <w:sz w:val="26"/>
          <w:szCs w:val="26"/>
        </w:rPr>
        <w:t xml:space="preserve"> would be preposterous to call those ambiguous requests for </w:t>
      </w:r>
      <w:r w:rsidR="00344B19">
        <w:rPr>
          <w:rFonts w:ascii="Garamond" w:hAnsi="Garamond"/>
          <w:sz w:val="26"/>
          <w:szCs w:val="26"/>
        </w:rPr>
        <w:t>salad</w:t>
      </w:r>
      <w:r w:rsidR="004743A8">
        <w:rPr>
          <w:rFonts w:ascii="Garamond" w:hAnsi="Garamond"/>
          <w:sz w:val="26"/>
          <w:szCs w:val="26"/>
        </w:rPr>
        <w:t xml:space="preserve">. </w:t>
      </w:r>
      <w:r w:rsidR="00344B19">
        <w:rPr>
          <w:rFonts w:ascii="Garamond" w:hAnsi="Garamond"/>
          <w:sz w:val="26"/>
          <w:szCs w:val="26"/>
        </w:rPr>
        <w:t xml:space="preserve">To </w:t>
      </w:r>
      <w:r>
        <w:rPr>
          <w:rFonts w:ascii="Garamond" w:hAnsi="Garamond"/>
          <w:sz w:val="26"/>
          <w:szCs w:val="26"/>
        </w:rPr>
        <w:t>claim not to</w:t>
      </w:r>
      <w:r w:rsidR="00344B19">
        <w:rPr>
          <w:rFonts w:ascii="Garamond" w:hAnsi="Garamond"/>
          <w:sz w:val="26"/>
          <w:szCs w:val="26"/>
        </w:rPr>
        <w:t xml:space="preserve"> understand those statements is to be obtuse</w:t>
      </w:r>
      <w:r>
        <w:rPr>
          <w:rFonts w:ascii="Garamond" w:hAnsi="Garamond"/>
          <w:sz w:val="26"/>
          <w:szCs w:val="26"/>
        </w:rPr>
        <w:t xml:space="preserve"> </w:t>
      </w:r>
      <w:r w:rsidR="00954A2E">
        <w:rPr>
          <w:rFonts w:ascii="Garamond" w:hAnsi="Garamond"/>
          <w:sz w:val="26"/>
          <w:szCs w:val="26"/>
        </w:rPr>
        <w:t>in</w:t>
      </w:r>
      <w:r>
        <w:rPr>
          <w:rFonts w:ascii="Garamond" w:hAnsi="Garamond"/>
          <w:sz w:val="26"/>
          <w:szCs w:val="26"/>
        </w:rPr>
        <w:t xml:space="preserve"> the extreme</w:t>
      </w:r>
      <w:r w:rsidR="00344B19">
        <w:rPr>
          <w:rFonts w:ascii="Garamond" w:hAnsi="Garamond"/>
          <w:sz w:val="26"/>
          <w:szCs w:val="26"/>
        </w:rPr>
        <w:t xml:space="preserve">. </w:t>
      </w:r>
      <w:r>
        <w:rPr>
          <w:rFonts w:ascii="Garamond" w:hAnsi="Garamond"/>
          <w:sz w:val="26"/>
          <w:szCs w:val="26"/>
        </w:rPr>
        <w:t>B</w:t>
      </w:r>
      <w:r w:rsidR="007412B3">
        <w:rPr>
          <w:rFonts w:ascii="Garamond" w:hAnsi="Garamond"/>
          <w:sz w:val="26"/>
          <w:szCs w:val="26"/>
        </w:rPr>
        <w:t>ut b</w:t>
      </w:r>
      <w:r>
        <w:rPr>
          <w:rFonts w:ascii="Garamond" w:hAnsi="Garamond"/>
          <w:sz w:val="26"/>
          <w:szCs w:val="26"/>
        </w:rPr>
        <w:t xml:space="preserve">ecause the courts </w:t>
      </w:r>
      <w:r w:rsidR="00954A2E">
        <w:rPr>
          <w:rFonts w:ascii="Garamond" w:hAnsi="Garamond"/>
          <w:sz w:val="26"/>
          <w:szCs w:val="26"/>
        </w:rPr>
        <w:t>occasionally lean that way</w:t>
      </w:r>
      <w:r w:rsidR="007B3955">
        <w:rPr>
          <w:rFonts w:ascii="Garamond" w:hAnsi="Garamond"/>
          <w:sz w:val="26"/>
          <w:szCs w:val="26"/>
        </w:rPr>
        <w:t>,</w:t>
      </w:r>
      <w:r w:rsidR="007412B3">
        <w:rPr>
          <w:rFonts w:ascii="Garamond" w:hAnsi="Garamond"/>
          <w:sz w:val="26"/>
          <w:szCs w:val="26"/>
        </w:rPr>
        <w:t xml:space="preserve"> </w:t>
      </w:r>
      <w:r>
        <w:rPr>
          <w:rFonts w:ascii="Garamond" w:hAnsi="Garamond"/>
          <w:sz w:val="26"/>
          <w:szCs w:val="26"/>
        </w:rPr>
        <w:t>let’s dive into why</w:t>
      </w:r>
      <w:r w:rsidR="00344B19">
        <w:rPr>
          <w:rFonts w:ascii="Garamond" w:hAnsi="Garamond"/>
          <w:sz w:val="26"/>
          <w:szCs w:val="26"/>
        </w:rPr>
        <w:t>.</w:t>
      </w:r>
    </w:p>
    <w:p w14:paraId="60A524BC" w14:textId="77777777" w:rsidR="004743A8" w:rsidRDefault="00923B8D" w:rsidP="00144DF5">
      <w:pPr>
        <w:rPr>
          <w:rFonts w:ascii="Garamond" w:hAnsi="Garamond"/>
          <w:sz w:val="26"/>
          <w:szCs w:val="26"/>
        </w:rPr>
      </w:pPr>
      <w:r>
        <w:rPr>
          <w:rFonts w:ascii="Garamond" w:hAnsi="Garamond"/>
          <w:sz w:val="26"/>
          <w:szCs w:val="26"/>
        </w:rPr>
        <w:t>In linguistics and the philosophy of language, there is a difference between direct and indirect speech acts</w:t>
      </w:r>
      <w:r w:rsidR="004743A8">
        <w:rPr>
          <w:rFonts w:ascii="Garamond" w:hAnsi="Garamond"/>
          <w:sz w:val="26"/>
          <w:szCs w:val="26"/>
        </w:rPr>
        <w:t>.</w:t>
      </w:r>
      <w:r w:rsidR="00327832">
        <w:rPr>
          <w:rFonts w:ascii="Garamond" w:hAnsi="Garamond"/>
          <w:sz w:val="26"/>
          <w:szCs w:val="26"/>
        </w:rPr>
        <w:t xml:space="preserve"> (Note, </w:t>
      </w:r>
      <w:r w:rsidR="00327832" w:rsidRPr="00327832">
        <w:rPr>
          <w:rFonts w:ascii="Garamond" w:hAnsi="Garamond"/>
          <w:i/>
          <w:sz w:val="26"/>
          <w:szCs w:val="26"/>
        </w:rPr>
        <w:t>Linguistic Estoppel: A Custodial Interrogation Subject's Reliance on Traditional Language Customs when Facing Unknown Expectations for Legally Efficacious Speech</w:t>
      </w:r>
      <w:r w:rsidR="00327832">
        <w:rPr>
          <w:rFonts w:ascii="Garamond" w:hAnsi="Garamond"/>
          <w:sz w:val="26"/>
          <w:szCs w:val="26"/>
        </w:rPr>
        <w:t xml:space="preserve"> (2021)</w:t>
      </w:r>
      <w:r w:rsidR="00327832" w:rsidRPr="00327832">
        <w:rPr>
          <w:rFonts w:ascii="Garamond" w:hAnsi="Garamond"/>
          <w:sz w:val="26"/>
          <w:szCs w:val="26"/>
        </w:rPr>
        <w:t xml:space="preserve"> 46 B.Y.U.L. Rev. 1675</w:t>
      </w:r>
      <w:r w:rsidR="00327832">
        <w:rPr>
          <w:rFonts w:ascii="Garamond" w:hAnsi="Garamond"/>
          <w:sz w:val="26"/>
          <w:szCs w:val="26"/>
        </w:rPr>
        <w:t>.)</w:t>
      </w:r>
      <w:r w:rsidR="004743A8">
        <w:rPr>
          <w:rFonts w:ascii="Garamond" w:hAnsi="Garamond"/>
          <w:sz w:val="26"/>
          <w:szCs w:val="26"/>
        </w:rPr>
        <w:t xml:space="preserve"> A direct speech act is what it sounds like: a direct request for something (i.e., </w:t>
      </w:r>
      <w:r w:rsidR="00740BC4">
        <w:rPr>
          <w:rFonts w:ascii="Garamond" w:hAnsi="Garamond"/>
          <w:sz w:val="26"/>
          <w:szCs w:val="26"/>
        </w:rPr>
        <w:t>“</w:t>
      </w:r>
      <w:r w:rsidR="004743A8">
        <w:rPr>
          <w:rFonts w:ascii="Garamond" w:hAnsi="Garamond"/>
          <w:sz w:val="26"/>
          <w:szCs w:val="26"/>
        </w:rPr>
        <w:t xml:space="preserve">Bring me the </w:t>
      </w:r>
      <w:r w:rsidR="00344B19">
        <w:rPr>
          <w:rFonts w:ascii="Garamond" w:hAnsi="Garamond"/>
          <w:sz w:val="26"/>
          <w:szCs w:val="26"/>
        </w:rPr>
        <w:t>salad</w:t>
      </w:r>
      <w:r w:rsidR="00954A2E">
        <w:rPr>
          <w:rFonts w:ascii="Garamond" w:hAnsi="Garamond"/>
          <w:sz w:val="26"/>
          <w:szCs w:val="26"/>
        </w:rPr>
        <w:t>”</w:t>
      </w:r>
      <w:r w:rsidR="004743A8">
        <w:rPr>
          <w:rFonts w:ascii="Garamond" w:hAnsi="Garamond"/>
          <w:sz w:val="26"/>
          <w:szCs w:val="26"/>
        </w:rPr>
        <w:t>). An indirect speech act</w:t>
      </w:r>
      <w:r w:rsidR="0029375F">
        <w:rPr>
          <w:rFonts w:ascii="Garamond" w:hAnsi="Garamond"/>
          <w:sz w:val="26"/>
          <w:szCs w:val="26"/>
        </w:rPr>
        <w:t xml:space="preserve"> is an unambiguous request accomplished through an indirect statement (i.e., </w:t>
      </w:r>
      <w:r w:rsidR="00740BC4">
        <w:rPr>
          <w:rFonts w:ascii="Garamond" w:hAnsi="Garamond"/>
          <w:sz w:val="26"/>
          <w:szCs w:val="26"/>
        </w:rPr>
        <w:t>“</w:t>
      </w:r>
      <w:r w:rsidR="0029375F">
        <w:rPr>
          <w:rFonts w:ascii="Garamond" w:hAnsi="Garamond"/>
          <w:sz w:val="26"/>
          <w:szCs w:val="26"/>
        </w:rPr>
        <w:t xml:space="preserve">Can I have the </w:t>
      </w:r>
      <w:r w:rsidR="00344B19">
        <w:rPr>
          <w:rFonts w:ascii="Garamond" w:hAnsi="Garamond"/>
          <w:sz w:val="26"/>
          <w:szCs w:val="26"/>
        </w:rPr>
        <w:t>salad</w:t>
      </w:r>
      <w:r w:rsidR="0029375F">
        <w:rPr>
          <w:rFonts w:ascii="Garamond" w:hAnsi="Garamond"/>
          <w:sz w:val="26"/>
          <w:szCs w:val="26"/>
        </w:rPr>
        <w:t>?</w:t>
      </w:r>
      <w:r w:rsidR="00740BC4">
        <w:rPr>
          <w:rFonts w:ascii="Garamond" w:hAnsi="Garamond"/>
          <w:sz w:val="26"/>
          <w:szCs w:val="26"/>
        </w:rPr>
        <w:t>”</w:t>
      </w:r>
      <w:r w:rsidR="0029375F">
        <w:rPr>
          <w:rFonts w:ascii="Garamond" w:hAnsi="Garamond"/>
          <w:sz w:val="26"/>
          <w:szCs w:val="26"/>
        </w:rPr>
        <w:t>). Also relevant here are performative speech acts, speech acts that by their very nature accomplish an often</w:t>
      </w:r>
      <w:r>
        <w:rPr>
          <w:rFonts w:ascii="Garamond" w:hAnsi="Garamond"/>
          <w:sz w:val="26"/>
          <w:szCs w:val="26"/>
        </w:rPr>
        <w:t xml:space="preserve"> </w:t>
      </w:r>
      <w:r w:rsidR="0029375F">
        <w:rPr>
          <w:rFonts w:ascii="Garamond" w:hAnsi="Garamond"/>
          <w:sz w:val="26"/>
          <w:szCs w:val="26"/>
        </w:rPr>
        <w:t xml:space="preserve">legal task (i.e., </w:t>
      </w:r>
      <w:r w:rsidR="00740BC4">
        <w:rPr>
          <w:rFonts w:ascii="Garamond" w:hAnsi="Garamond"/>
          <w:sz w:val="26"/>
          <w:szCs w:val="26"/>
        </w:rPr>
        <w:t>“</w:t>
      </w:r>
      <w:r w:rsidR="0029375F">
        <w:rPr>
          <w:rFonts w:ascii="Garamond" w:hAnsi="Garamond"/>
          <w:sz w:val="26"/>
          <w:szCs w:val="26"/>
        </w:rPr>
        <w:t xml:space="preserve">I hereby order the </w:t>
      </w:r>
      <w:r w:rsidR="00344B19">
        <w:rPr>
          <w:rFonts w:ascii="Garamond" w:hAnsi="Garamond"/>
          <w:sz w:val="26"/>
          <w:szCs w:val="26"/>
        </w:rPr>
        <w:t>salad</w:t>
      </w:r>
      <w:r w:rsidR="00740BC4">
        <w:rPr>
          <w:rFonts w:ascii="Garamond" w:hAnsi="Garamond"/>
          <w:sz w:val="26"/>
          <w:szCs w:val="26"/>
        </w:rPr>
        <w:t>”</w:t>
      </w:r>
      <w:r w:rsidR="0029375F">
        <w:rPr>
          <w:rFonts w:ascii="Garamond" w:hAnsi="Garamond"/>
          <w:sz w:val="26"/>
          <w:szCs w:val="26"/>
        </w:rPr>
        <w:t>). There are obviously differences among the three, but they are all entirely valid ways of communicating</w:t>
      </w:r>
      <w:r w:rsidR="00E731BF">
        <w:rPr>
          <w:rFonts w:ascii="Garamond" w:hAnsi="Garamond"/>
          <w:sz w:val="26"/>
          <w:szCs w:val="26"/>
        </w:rPr>
        <w:t>, and none is necessarily ambiguous</w:t>
      </w:r>
      <w:r w:rsidR="0029375F">
        <w:rPr>
          <w:rFonts w:ascii="Garamond" w:hAnsi="Garamond"/>
          <w:sz w:val="26"/>
          <w:szCs w:val="26"/>
        </w:rPr>
        <w:t xml:space="preserve">. Deciphering the meaning of an indirect speech act may require understanding the </w:t>
      </w:r>
      <w:r w:rsidR="00740BC4">
        <w:rPr>
          <w:rFonts w:ascii="Garamond" w:hAnsi="Garamond"/>
          <w:sz w:val="26"/>
          <w:szCs w:val="26"/>
        </w:rPr>
        <w:lastRenderedPageBreak/>
        <w:t>“</w:t>
      </w:r>
      <w:r w:rsidR="0029375F" w:rsidRPr="0029375F">
        <w:rPr>
          <w:rFonts w:ascii="Garamond" w:hAnsi="Garamond"/>
          <w:sz w:val="26"/>
          <w:szCs w:val="26"/>
        </w:rPr>
        <w:t>conversational implicature, the reading into spoken discourse of a meaning beyond the literal meaning of the words</w:t>
      </w:r>
      <w:r w:rsidR="0029375F">
        <w:rPr>
          <w:rFonts w:ascii="Garamond" w:hAnsi="Garamond"/>
          <w:sz w:val="26"/>
          <w:szCs w:val="26"/>
        </w:rPr>
        <w:t xml:space="preserve"> used in the utterance.</w:t>
      </w:r>
      <w:r w:rsidR="00740BC4">
        <w:rPr>
          <w:rFonts w:ascii="Garamond" w:hAnsi="Garamond"/>
          <w:sz w:val="26"/>
          <w:szCs w:val="26"/>
        </w:rPr>
        <w:t>”</w:t>
      </w:r>
      <w:r w:rsidR="0029375F">
        <w:rPr>
          <w:rFonts w:ascii="Garamond" w:hAnsi="Garamond"/>
          <w:sz w:val="26"/>
          <w:szCs w:val="26"/>
        </w:rPr>
        <w:t xml:space="preserve"> (</w:t>
      </w:r>
      <w:r w:rsidR="00327832" w:rsidRPr="00327832">
        <w:rPr>
          <w:rFonts w:ascii="Garamond" w:hAnsi="Garamond"/>
          <w:i/>
          <w:sz w:val="26"/>
          <w:szCs w:val="26"/>
        </w:rPr>
        <w:t>Id</w:t>
      </w:r>
      <w:r w:rsidR="00327832">
        <w:rPr>
          <w:rFonts w:ascii="Garamond" w:hAnsi="Garamond"/>
          <w:sz w:val="26"/>
          <w:szCs w:val="26"/>
        </w:rPr>
        <w:t xml:space="preserve">. at 1684, citing Janet E. Ainsworth, </w:t>
      </w:r>
      <w:r w:rsidR="00327832" w:rsidRPr="00327832">
        <w:rPr>
          <w:rFonts w:ascii="Garamond" w:hAnsi="Garamond"/>
          <w:i/>
          <w:sz w:val="26"/>
          <w:szCs w:val="26"/>
        </w:rPr>
        <w:t>In a Different Register: The Pragmatics of Powerlessness in Police Interrogation</w:t>
      </w:r>
      <w:r w:rsidR="00327832">
        <w:rPr>
          <w:rFonts w:ascii="Garamond" w:hAnsi="Garamond"/>
          <w:sz w:val="26"/>
          <w:szCs w:val="26"/>
        </w:rPr>
        <w:t xml:space="preserve"> (1993)</w:t>
      </w:r>
      <w:r w:rsidR="00327832" w:rsidRPr="00327832">
        <w:rPr>
          <w:rFonts w:ascii="Garamond" w:hAnsi="Garamond"/>
          <w:sz w:val="26"/>
          <w:szCs w:val="26"/>
        </w:rPr>
        <w:t xml:space="preserve"> 103 Yale L.J. 259, 267-68</w:t>
      </w:r>
      <w:r w:rsidR="0029375F">
        <w:rPr>
          <w:rFonts w:ascii="Garamond" w:hAnsi="Garamond"/>
          <w:sz w:val="26"/>
          <w:szCs w:val="26"/>
        </w:rPr>
        <w:t>.) But that</w:t>
      </w:r>
      <w:r w:rsidR="00740BC4">
        <w:rPr>
          <w:rFonts w:ascii="Garamond" w:hAnsi="Garamond"/>
          <w:sz w:val="26"/>
          <w:szCs w:val="26"/>
        </w:rPr>
        <w:t>’</w:t>
      </w:r>
      <w:r w:rsidR="0029375F">
        <w:rPr>
          <w:rFonts w:ascii="Garamond" w:hAnsi="Garamond"/>
          <w:sz w:val="26"/>
          <w:szCs w:val="26"/>
        </w:rPr>
        <w:t xml:space="preserve">s not an altogether difficult thing to do: you just need to consider the context the speaker is using. </w:t>
      </w:r>
    </w:p>
    <w:p w14:paraId="3A7F1EC8" w14:textId="77777777" w:rsidR="0029375F" w:rsidRDefault="0029375F" w:rsidP="00144DF5">
      <w:pPr>
        <w:rPr>
          <w:rFonts w:ascii="Garamond" w:hAnsi="Garamond"/>
          <w:sz w:val="26"/>
          <w:szCs w:val="26"/>
        </w:rPr>
      </w:pPr>
      <w:r>
        <w:rPr>
          <w:rFonts w:ascii="Garamond" w:hAnsi="Garamond"/>
          <w:sz w:val="26"/>
          <w:szCs w:val="26"/>
        </w:rPr>
        <w:t xml:space="preserve">The problem the law presents here is that interpreting </w:t>
      </w:r>
      <w:r w:rsidR="007412B3">
        <w:rPr>
          <w:rFonts w:ascii="Garamond" w:hAnsi="Garamond"/>
          <w:sz w:val="26"/>
          <w:szCs w:val="26"/>
        </w:rPr>
        <w:t>“</w:t>
      </w:r>
      <w:r>
        <w:rPr>
          <w:rFonts w:ascii="Garamond" w:hAnsi="Garamond"/>
          <w:sz w:val="26"/>
          <w:szCs w:val="26"/>
        </w:rPr>
        <w:t>conversational implicature</w:t>
      </w:r>
      <w:r w:rsidR="007412B3">
        <w:rPr>
          <w:rFonts w:ascii="Garamond" w:hAnsi="Garamond"/>
          <w:sz w:val="26"/>
          <w:szCs w:val="26"/>
        </w:rPr>
        <w:t>”</w:t>
      </w:r>
      <w:r>
        <w:rPr>
          <w:rFonts w:ascii="Garamond" w:hAnsi="Garamond"/>
          <w:sz w:val="26"/>
          <w:szCs w:val="26"/>
        </w:rPr>
        <w:t xml:space="preserve"> requires the cooperation of the parties to the conversation. Basically, if I</w:t>
      </w:r>
      <w:r w:rsidR="00740BC4">
        <w:rPr>
          <w:rFonts w:ascii="Garamond" w:hAnsi="Garamond"/>
          <w:sz w:val="26"/>
          <w:szCs w:val="26"/>
        </w:rPr>
        <w:t>’</w:t>
      </w:r>
      <w:r>
        <w:rPr>
          <w:rFonts w:ascii="Garamond" w:hAnsi="Garamond"/>
          <w:sz w:val="26"/>
          <w:szCs w:val="26"/>
        </w:rPr>
        <w:t>m speaking to someone who comes from a different area of the country than I do, we may have different ways of speaking, but we</w:t>
      </w:r>
      <w:r w:rsidR="00740BC4">
        <w:rPr>
          <w:rFonts w:ascii="Garamond" w:hAnsi="Garamond"/>
          <w:sz w:val="26"/>
          <w:szCs w:val="26"/>
        </w:rPr>
        <w:t>’</w:t>
      </w:r>
      <w:r>
        <w:rPr>
          <w:rFonts w:ascii="Garamond" w:hAnsi="Garamond"/>
          <w:sz w:val="26"/>
          <w:szCs w:val="26"/>
        </w:rPr>
        <w:t xml:space="preserve">ll be able to understand each other if we want to and </w:t>
      </w:r>
      <w:r w:rsidR="00344B19">
        <w:rPr>
          <w:rFonts w:ascii="Garamond" w:hAnsi="Garamond"/>
          <w:sz w:val="26"/>
          <w:szCs w:val="26"/>
        </w:rPr>
        <w:t xml:space="preserve">if we </w:t>
      </w:r>
      <w:r>
        <w:rPr>
          <w:rFonts w:ascii="Garamond" w:hAnsi="Garamond"/>
          <w:sz w:val="26"/>
          <w:szCs w:val="26"/>
        </w:rPr>
        <w:t xml:space="preserve">make a little effort. </w:t>
      </w:r>
      <w:r w:rsidR="00E731BF">
        <w:rPr>
          <w:rFonts w:ascii="Garamond" w:hAnsi="Garamond"/>
          <w:sz w:val="26"/>
          <w:szCs w:val="26"/>
        </w:rPr>
        <w:t xml:space="preserve">You just have to be a cooperative speech partner (i.e., be open to the idea that sometimes people use indirect speech acts). The law here, however, is not a cooperative speech partner, so courts will at times take unambiguous requests and call them ambiguous, not because they are in fact ambiguous, but merely because they are </w:t>
      </w:r>
      <w:r w:rsidR="00F54D3F">
        <w:rPr>
          <w:rFonts w:ascii="Garamond" w:hAnsi="Garamond"/>
          <w:sz w:val="26"/>
          <w:szCs w:val="26"/>
        </w:rPr>
        <w:t xml:space="preserve">indirect. </w:t>
      </w:r>
      <w:r w:rsidR="00344B19">
        <w:rPr>
          <w:rFonts w:ascii="Garamond" w:hAnsi="Garamond"/>
          <w:sz w:val="26"/>
          <w:szCs w:val="26"/>
        </w:rPr>
        <w:t>So a</w:t>
      </w:r>
      <w:r w:rsidR="00F54D3F">
        <w:rPr>
          <w:rFonts w:ascii="Garamond" w:hAnsi="Garamond"/>
          <w:sz w:val="26"/>
          <w:szCs w:val="26"/>
        </w:rPr>
        <w:t xml:space="preserve">s advocates, we </w:t>
      </w:r>
      <w:r w:rsidR="00923B8D">
        <w:rPr>
          <w:rFonts w:ascii="Garamond" w:hAnsi="Garamond"/>
          <w:sz w:val="26"/>
          <w:szCs w:val="26"/>
        </w:rPr>
        <w:t>need to</w:t>
      </w:r>
      <w:r w:rsidR="00344B19">
        <w:rPr>
          <w:rFonts w:ascii="Garamond" w:hAnsi="Garamond"/>
          <w:sz w:val="26"/>
          <w:szCs w:val="26"/>
        </w:rPr>
        <w:t xml:space="preserve"> </w:t>
      </w:r>
      <w:r w:rsidR="00954A2E">
        <w:rPr>
          <w:rFonts w:ascii="Garamond" w:hAnsi="Garamond"/>
          <w:sz w:val="26"/>
          <w:szCs w:val="26"/>
        </w:rPr>
        <w:t>use this</w:t>
      </w:r>
      <w:r w:rsidR="00F54D3F">
        <w:rPr>
          <w:rFonts w:ascii="Garamond" w:hAnsi="Garamond"/>
          <w:sz w:val="26"/>
          <w:szCs w:val="26"/>
        </w:rPr>
        <w:t xml:space="preserve"> </w:t>
      </w:r>
      <w:r w:rsidR="00344B19">
        <w:rPr>
          <w:rFonts w:ascii="Garamond" w:hAnsi="Garamond"/>
          <w:sz w:val="26"/>
          <w:szCs w:val="26"/>
        </w:rPr>
        <w:t>research</w:t>
      </w:r>
      <w:r w:rsidR="00F54D3F">
        <w:rPr>
          <w:rFonts w:ascii="Garamond" w:hAnsi="Garamond"/>
          <w:sz w:val="26"/>
          <w:szCs w:val="26"/>
        </w:rPr>
        <w:t xml:space="preserve"> to remind the courts that there are all sorts of ways </w:t>
      </w:r>
      <w:r w:rsidR="00954A2E">
        <w:rPr>
          <w:rFonts w:ascii="Garamond" w:hAnsi="Garamond"/>
          <w:sz w:val="26"/>
          <w:szCs w:val="26"/>
        </w:rPr>
        <w:t>of</w:t>
      </w:r>
      <w:r w:rsidR="00F54D3F">
        <w:rPr>
          <w:rFonts w:ascii="Garamond" w:hAnsi="Garamond"/>
          <w:sz w:val="26"/>
          <w:szCs w:val="26"/>
        </w:rPr>
        <w:t xml:space="preserve"> talk</w:t>
      </w:r>
      <w:r w:rsidR="00954A2E">
        <w:rPr>
          <w:rFonts w:ascii="Garamond" w:hAnsi="Garamond"/>
          <w:sz w:val="26"/>
          <w:szCs w:val="26"/>
        </w:rPr>
        <w:t>ing</w:t>
      </w:r>
      <w:r w:rsidR="001461B6">
        <w:rPr>
          <w:rFonts w:ascii="Garamond" w:hAnsi="Garamond"/>
          <w:sz w:val="26"/>
          <w:szCs w:val="26"/>
        </w:rPr>
        <w:t>,</w:t>
      </w:r>
      <w:r w:rsidR="00F54D3F">
        <w:rPr>
          <w:rFonts w:ascii="Garamond" w:hAnsi="Garamond"/>
          <w:sz w:val="26"/>
          <w:szCs w:val="26"/>
        </w:rPr>
        <w:t xml:space="preserve"> </w:t>
      </w:r>
      <w:r w:rsidR="00923B8D">
        <w:rPr>
          <w:rFonts w:ascii="Garamond" w:hAnsi="Garamond"/>
          <w:sz w:val="26"/>
          <w:szCs w:val="26"/>
        </w:rPr>
        <w:t xml:space="preserve">and being indirect is not necessarily the same </w:t>
      </w:r>
      <w:r w:rsidR="00954A2E">
        <w:rPr>
          <w:rFonts w:ascii="Garamond" w:hAnsi="Garamond"/>
          <w:sz w:val="26"/>
          <w:szCs w:val="26"/>
        </w:rPr>
        <w:t xml:space="preserve">thing </w:t>
      </w:r>
      <w:r w:rsidR="00923B8D">
        <w:rPr>
          <w:rFonts w:ascii="Garamond" w:hAnsi="Garamond"/>
          <w:sz w:val="26"/>
          <w:szCs w:val="26"/>
        </w:rPr>
        <w:t>as being ambiguous</w:t>
      </w:r>
      <w:r w:rsidR="00F54D3F">
        <w:rPr>
          <w:rFonts w:ascii="Garamond" w:hAnsi="Garamond"/>
          <w:sz w:val="26"/>
          <w:szCs w:val="26"/>
        </w:rPr>
        <w:t xml:space="preserve">. </w:t>
      </w:r>
    </w:p>
    <w:p w14:paraId="39CCBA5F" w14:textId="77777777" w:rsidR="00FD7940" w:rsidRDefault="00F54D3F" w:rsidP="00144DF5">
      <w:pPr>
        <w:rPr>
          <w:rFonts w:ascii="Garamond" w:hAnsi="Garamond"/>
          <w:sz w:val="26"/>
          <w:szCs w:val="26"/>
        </w:rPr>
      </w:pPr>
      <w:r>
        <w:rPr>
          <w:rFonts w:ascii="Garamond" w:hAnsi="Garamond"/>
          <w:sz w:val="26"/>
          <w:szCs w:val="26"/>
        </w:rPr>
        <w:t xml:space="preserve">A good wrinkle with this </w:t>
      </w:r>
      <w:r w:rsidR="00923B8D">
        <w:rPr>
          <w:rFonts w:ascii="Garamond" w:hAnsi="Garamond"/>
          <w:sz w:val="26"/>
          <w:szCs w:val="26"/>
        </w:rPr>
        <w:t>argument was introduced in</w:t>
      </w:r>
      <w:r>
        <w:rPr>
          <w:rFonts w:ascii="Garamond" w:hAnsi="Garamond"/>
          <w:sz w:val="26"/>
          <w:szCs w:val="26"/>
        </w:rPr>
        <w:t xml:space="preserve"> an article by Janet Ainsworth: Professor Ainsworth is one of the best researchers on applying linguistics to the law,</w:t>
      </w:r>
      <w:r w:rsidR="001461B6">
        <w:rPr>
          <w:rFonts w:ascii="Garamond" w:hAnsi="Garamond"/>
          <w:sz w:val="26"/>
          <w:szCs w:val="26"/>
        </w:rPr>
        <w:t xml:space="preserve"> though</w:t>
      </w:r>
      <w:r>
        <w:rPr>
          <w:rFonts w:ascii="Garamond" w:hAnsi="Garamond"/>
          <w:sz w:val="26"/>
          <w:szCs w:val="26"/>
        </w:rPr>
        <w:t xml:space="preserve"> </w:t>
      </w:r>
      <w:r w:rsidR="00954A2E">
        <w:rPr>
          <w:rFonts w:ascii="Garamond" w:hAnsi="Garamond"/>
          <w:sz w:val="26"/>
          <w:szCs w:val="26"/>
        </w:rPr>
        <w:t xml:space="preserve">her work is seldom </w:t>
      </w:r>
      <w:r>
        <w:rPr>
          <w:rFonts w:ascii="Garamond" w:hAnsi="Garamond"/>
          <w:sz w:val="26"/>
          <w:szCs w:val="26"/>
        </w:rPr>
        <w:t>cited in California.</w:t>
      </w:r>
      <w:r w:rsidR="00227509">
        <w:rPr>
          <w:rStyle w:val="FootnoteReference"/>
          <w:rFonts w:ascii="Garamond" w:hAnsi="Garamond"/>
          <w:sz w:val="26"/>
          <w:szCs w:val="26"/>
        </w:rPr>
        <w:footnoteReference w:id="32"/>
      </w:r>
      <w:r>
        <w:rPr>
          <w:rFonts w:ascii="Garamond" w:hAnsi="Garamond"/>
          <w:sz w:val="26"/>
          <w:szCs w:val="26"/>
        </w:rPr>
        <w:t xml:space="preserve"> In </w:t>
      </w:r>
      <w:r w:rsidR="00923B8D">
        <w:rPr>
          <w:rFonts w:ascii="Garamond" w:hAnsi="Garamond"/>
          <w:sz w:val="26"/>
          <w:szCs w:val="26"/>
        </w:rPr>
        <w:t>her</w:t>
      </w:r>
      <w:r>
        <w:rPr>
          <w:rFonts w:ascii="Garamond" w:hAnsi="Garamond"/>
          <w:sz w:val="26"/>
          <w:szCs w:val="26"/>
        </w:rPr>
        <w:t xml:space="preserve"> article, she talks about how people</w:t>
      </w:r>
      <w:r w:rsidR="00923B8D">
        <w:rPr>
          <w:rFonts w:ascii="Garamond" w:hAnsi="Garamond"/>
          <w:sz w:val="26"/>
          <w:szCs w:val="26"/>
        </w:rPr>
        <w:t xml:space="preserve"> from various backgrounds</w:t>
      </w:r>
      <w:r>
        <w:rPr>
          <w:rFonts w:ascii="Garamond" w:hAnsi="Garamond"/>
          <w:sz w:val="26"/>
          <w:szCs w:val="26"/>
        </w:rPr>
        <w:t xml:space="preserve"> t</w:t>
      </w:r>
      <w:r w:rsidR="00FD7940">
        <w:rPr>
          <w:rFonts w:ascii="Garamond" w:hAnsi="Garamond"/>
          <w:sz w:val="26"/>
          <w:szCs w:val="26"/>
        </w:rPr>
        <w:t xml:space="preserve">alk to authority figures. </w:t>
      </w:r>
      <w:r w:rsidR="00327832">
        <w:rPr>
          <w:rFonts w:ascii="Garamond" w:hAnsi="Garamond"/>
          <w:sz w:val="26"/>
          <w:szCs w:val="26"/>
        </w:rPr>
        <w:t xml:space="preserve">(Ainsworth, </w:t>
      </w:r>
      <w:r w:rsidR="00327832" w:rsidRPr="00327832">
        <w:rPr>
          <w:rFonts w:ascii="Garamond" w:hAnsi="Garamond"/>
          <w:i/>
          <w:sz w:val="26"/>
          <w:szCs w:val="26"/>
        </w:rPr>
        <w:t>supra</w:t>
      </w:r>
      <w:r w:rsidR="00327832">
        <w:rPr>
          <w:rFonts w:ascii="Garamond" w:hAnsi="Garamond"/>
          <w:sz w:val="26"/>
          <w:szCs w:val="26"/>
        </w:rPr>
        <w:t xml:space="preserve">, </w:t>
      </w:r>
      <w:r w:rsidR="00327832" w:rsidRPr="00327832">
        <w:rPr>
          <w:rFonts w:ascii="Garamond" w:hAnsi="Garamond"/>
          <w:sz w:val="26"/>
          <w:szCs w:val="26"/>
        </w:rPr>
        <w:t>103 Yale L.J. 259</w:t>
      </w:r>
      <w:r w:rsidR="00327832">
        <w:rPr>
          <w:rFonts w:ascii="Garamond" w:hAnsi="Garamond"/>
          <w:sz w:val="26"/>
          <w:szCs w:val="26"/>
        </w:rPr>
        <w:t xml:space="preserve">.) </w:t>
      </w:r>
      <w:r w:rsidR="00FD7940">
        <w:rPr>
          <w:rFonts w:ascii="Garamond" w:hAnsi="Garamond"/>
          <w:sz w:val="26"/>
          <w:szCs w:val="26"/>
        </w:rPr>
        <w:t xml:space="preserve">Women, </w:t>
      </w:r>
      <w:r>
        <w:rPr>
          <w:rFonts w:ascii="Garamond" w:hAnsi="Garamond"/>
          <w:sz w:val="26"/>
          <w:szCs w:val="26"/>
        </w:rPr>
        <w:t>people of color,</w:t>
      </w:r>
      <w:r w:rsidR="00FD7940">
        <w:rPr>
          <w:rFonts w:ascii="Garamond" w:hAnsi="Garamond"/>
          <w:sz w:val="26"/>
          <w:szCs w:val="26"/>
        </w:rPr>
        <w:t xml:space="preserve"> and those from socio-economically disadvantaged backgrounds,</w:t>
      </w:r>
      <w:r>
        <w:rPr>
          <w:rFonts w:ascii="Garamond" w:hAnsi="Garamond"/>
          <w:sz w:val="26"/>
          <w:szCs w:val="26"/>
        </w:rPr>
        <w:t xml:space="preserve"> in particular, at times use </w:t>
      </w:r>
      <w:r w:rsidR="00954A2E">
        <w:rPr>
          <w:rFonts w:ascii="Garamond" w:hAnsi="Garamond"/>
          <w:sz w:val="26"/>
          <w:szCs w:val="26"/>
        </w:rPr>
        <w:t>what Ainsworth calls</w:t>
      </w:r>
      <w:r w:rsidR="00FD7940">
        <w:rPr>
          <w:rFonts w:ascii="Garamond" w:hAnsi="Garamond"/>
          <w:sz w:val="26"/>
          <w:szCs w:val="26"/>
        </w:rPr>
        <w:t xml:space="preserve"> the </w:t>
      </w:r>
      <w:r w:rsidR="00740BC4">
        <w:rPr>
          <w:rFonts w:ascii="Garamond" w:hAnsi="Garamond"/>
          <w:sz w:val="26"/>
          <w:szCs w:val="26"/>
        </w:rPr>
        <w:t>“</w:t>
      </w:r>
      <w:r w:rsidR="00FD7940">
        <w:rPr>
          <w:rFonts w:ascii="Garamond" w:hAnsi="Garamond"/>
          <w:sz w:val="26"/>
          <w:szCs w:val="26"/>
        </w:rPr>
        <w:t>female register,</w:t>
      </w:r>
      <w:r w:rsidR="00740BC4">
        <w:rPr>
          <w:rFonts w:ascii="Garamond" w:hAnsi="Garamond"/>
          <w:sz w:val="26"/>
          <w:szCs w:val="26"/>
        </w:rPr>
        <w:t>”</w:t>
      </w:r>
      <w:r w:rsidR="00FD7940">
        <w:rPr>
          <w:rFonts w:ascii="Garamond" w:hAnsi="Garamond"/>
          <w:sz w:val="26"/>
          <w:szCs w:val="26"/>
        </w:rPr>
        <w:t xml:space="preserve"> a pattern of speaking that is not exclusively used by females, but one that reflects a less empowered approach to discourse. Ainsworth is clear that not all women use it, and men </w:t>
      </w:r>
      <w:r w:rsidR="00923B8D">
        <w:rPr>
          <w:rFonts w:ascii="Garamond" w:hAnsi="Garamond"/>
          <w:sz w:val="26"/>
          <w:szCs w:val="26"/>
        </w:rPr>
        <w:t>sometimes use it, too</w:t>
      </w:r>
      <w:r w:rsidR="00FD7940">
        <w:rPr>
          <w:rFonts w:ascii="Garamond" w:hAnsi="Garamond"/>
          <w:sz w:val="26"/>
          <w:szCs w:val="26"/>
        </w:rPr>
        <w:t xml:space="preserve">. </w:t>
      </w:r>
      <w:r w:rsidR="00923B8D">
        <w:rPr>
          <w:rFonts w:ascii="Garamond" w:hAnsi="Garamond"/>
          <w:sz w:val="26"/>
          <w:szCs w:val="26"/>
        </w:rPr>
        <w:t>But it is a way of speaking that reflects a power imbalance.</w:t>
      </w:r>
    </w:p>
    <w:p w14:paraId="7E168E92" w14:textId="77777777" w:rsidR="00F54D3F" w:rsidRDefault="00FD7940" w:rsidP="00144DF5">
      <w:pPr>
        <w:rPr>
          <w:rFonts w:ascii="Garamond" w:hAnsi="Garamond"/>
          <w:sz w:val="26"/>
          <w:szCs w:val="26"/>
        </w:rPr>
      </w:pPr>
      <w:r>
        <w:rPr>
          <w:rFonts w:ascii="Garamond" w:hAnsi="Garamond"/>
          <w:sz w:val="26"/>
          <w:szCs w:val="26"/>
        </w:rPr>
        <w:lastRenderedPageBreak/>
        <w:t xml:space="preserve">The female register is </w:t>
      </w:r>
      <w:r w:rsidR="00344B19">
        <w:rPr>
          <w:rFonts w:ascii="Garamond" w:hAnsi="Garamond"/>
          <w:sz w:val="26"/>
          <w:szCs w:val="26"/>
        </w:rPr>
        <w:t xml:space="preserve">characterized by five ways of speaking: hedges (like </w:t>
      </w:r>
      <w:r w:rsidR="00740BC4">
        <w:rPr>
          <w:rFonts w:ascii="Garamond" w:hAnsi="Garamond"/>
          <w:sz w:val="26"/>
          <w:szCs w:val="26"/>
        </w:rPr>
        <w:t>“</w:t>
      </w:r>
      <w:r w:rsidR="00344B19">
        <w:rPr>
          <w:rFonts w:ascii="Garamond" w:hAnsi="Garamond"/>
          <w:sz w:val="26"/>
          <w:szCs w:val="26"/>
        </w:rPr>
        <w:t>maybe</w:t>
      </w:r>
      <w:r w:rsidR="00740BC4">
        <w:rPr>
          <w:rFonts w:ascii="Garamond" w:hAnsi="Garamond"/>
          <w:sz w:val="26"/>
          <w:szCs w:val="26"/>
        </w:rPr>
        <w:t>”</w:t>
      </w:r>
      <w:r w:rsidR="00344B19">
        <w:rPr>
          <w:rFonts w:ascii="Garamond" w:hAnsi="Garamond"/>
          <w:sz w:val="26"/>
          <w:szCs w:val="26"/>
        </w:rPr>
        <w:t xml:space="preserve"> or </w:t>
      </w:r>
      <w:r w:rsidR="00740BC4">
        <w:rPr>
          <w:rFonts w:ascii="Garamond" w:hAnsi="Garamond"/>
          <w:sz w:val="26"/>
          <w:szCs w:val="26"/>
        </w:rPr>
        <w:t>“</w:t>
      </w:r>
      <w:r w:rsidR="00344B19">
        <w:rPr>
          <w:rFonts w:ascii="Garamond" w:hAnsi="Garamond"/>
          <w:sz w:val="26"/>
          <w:szCs w:val="26"/>
        </w:rPr>
        <w:t>I think</w:t>
      </w:r>
      <w:r w:rsidR="00740BC4">
        <w:rPr>
          <w:rFonts w:ascii="Garamond" w:hAnsi="Garamond"/>
          <w:sz w:val="26"/>
          <w:szCs w:val="26"/>
        </w:rPr>
        <w:t>”</w:t>
      </w:r>
      <w:r w:rsidR="00344B19">
        <w:rPr>
          <w:rFonts w:ascii="Garamond" w:hAnsi="Garamond"/>
          <w:sz w:val="26"/>
          <w:szCs w:val="26"/>
        </w:rPr>
        <w:t>)</w:t>
      </w:r>
      <w:r w:rsidR="00954A2E">
        <w:rPr>
          <w:rFonts w:ascii="Garamond" w:hAnsi="Garamond"/>
          <w:sz w:val="26"/>
          <w:szCs w:val="26"/>
        </w:rPr>
        <w:t>;</w:t>
      </w:r>
      <w:r w:rsidR="00344B19">
        <w:rPr>
          <w:rFonts w:ascii="Garamond" w:hAnsi="Garamond"/>
          <w:sz w:val="26"/>
          <w:szCs w:val="26"/>
        </w:rPr>
        <w:t xml:space="preserve"> tag questions (</w:t>
      </w:r>
      <w:r w:rsidR="00740BC4">
        <w:rPr>
          <w:rFonts w:ascii="Garamond" w:hAnsi="Garamond"/>
          <w:sz w:val="26"/>
          <w:szCs w:val="26"/>
        </w:rPr>
        <w:t>“</w:t>
      </w:r>
      <w:r w:rsidR="00344B19">
        <w:rPr>
          <w:rFonts w:ascii="Garamond" w:hAnsi="Garamond"/>
          <w:sz w:val="26"/>
          <w:szCs w:val="26"/>
        </w:rPr>
        <w:t>right?</w:t>
      </w:r>
      <w:r w:rsidR="00740BC4">
        <w:rPr>
          <w:rFonts w:ascii="Garamond" w:hAnsi="Garamond"/>
          <w:sz w:val="26"/>
          <w:szCs w:val="26"/>
        </w:rPr>
        <w:t>”</w:t>
      </w:r>
      <w:r w:rsidR="00344B19">
        <w:rPr>
          <w:rFonts w:ascii="Garamond" w:hAnsi="Garamond"/>
          <w:sz w:val="26"/>
          <w:szCs w:val="26"/>
        </w:rPr>
        <w:t xml:space="preserve"> or </w:t>
      </w:r>
      <w:r w:rsidR="00740BC4">
        <w:rPr>
          <w:rFonts w:ascii="Garamond" w:hAnsi="Garamond"/>
          <w:sz w:val="26"/>
          <w:szCs w:val="26"/>
        </w:rPr>
        <w:t>“</w:t>
      </w:r>
      <w:r w:rsidR="00344B19">
        <w:rPr>
          <w:rFonts w:ascii="Garamond" w:hAnsi="Garamond"/>
          <w:sz w:val="26"/>
          <w:szCs w:val="26"/>
        </w:rPr>
        <w:t>do you think</w:t>
      </w:r>
      <w:r w:rsidR="00740BC4">
        <w:rPr>
          <w:rFonts w:ascii="Garamond" w:hAnsi="Garamond"/>
          <w:sz w:val="26"/>
          <w:szCs w:val="26"/>
        </w:rPr>
        <w:t>”“</w:t>
      </w:r>
      <w:r w:rsidR="00344B19">
        <w:rPr>
          <w:rFonts w:ascii="Garamond" w:hAnsi="Garamond"/>
          <w:sz w:val="26"/>
          <w:szCs w:val="26"/>
        </w:rPr>
        <w:t>); modal verb usage (</w:t>
      </w:r>
      <w:r w:rsidR="00740BC4">
        <w:rPr>
          <w:rFonts w:ascii="Garamond" w:hAnsi="Garamond"/>
          <w:sz w:val="26"/>
          <w:szCs w:val="26"/>
        </w:rPr>
        <w:t>“</w:t>
      </w:r>
      <w:r w:rsidR="00344B19">
        <w:rPr>
          <w:rFonts w:ascii="Garamond" w:hAnsi="Garamond"/>
          <w:sz w:val="26"/>
          <w:szCs w:val="26"/>
        </w:rPr>
        <w:t>could be,</w:t>
      </w:r>
      <w:r w:rsidR="00740BC4">
        <w:rPr>
          <w:rFonts w:ascii="Garamond" w:hAnsi="Garamond"/>
          <w:sz w:val="26"/>
          <w:szCs w:val="26"/>
        </w:rPr>
        <w:t>”</w:t>
      </w:r>
      <w:r w:rsidR="00344B19">
        <w:rPr>
          <w:rFonts w:ascii="Garamond" w:hAnsi="Garamond"/>
          <w:sz w:val="26"/>
          <w:szCs w:val="26"/>
        </w:rPr>
        <w:t xml:space="preserve"> </w:t>
      </w:r>
      <w:r w:rsidR="00740BC4">
        <w:rPr>
          <w:rFonts w:ascii="Garamond" w:hAnsi="Garamond"/>
          <w:sz w:val="26"/>
          <w:szCs w:val="26"/>
        </w:rPr>
        <w:t>“</w:t>
      </w:r>
      <w:r w:rsidR="00344B19">
        <w:rPr>
          <w:rFonts w:ascii="Garamond" w:hAnsi="Garamond"/>
          <w:sz w:val="26"/>
          <w:szCs w:val="26"/>
        </w:rPr>
        <w:t>might be,</w:t>
      </w:r>
      <w:r w:rsidR="00740BC4">
        <w:rPr>
          <w:rFonts w:ascii="Garamond" w:hAnsi="Garamond"/>
          <w:sz w:val="26"/>
          <w:szCs w:val="26"/>
        </w:rPr>
        <w:t>”</w:t>
      </w:r>
      <w:r w:rsidR="00344B19">
        <w:rPr>
          <w:rFonts w:ascii="Garamond" w:hAnsi="Garamond"/>
          <w:sz w:val="26"/>
          <w:szCs w:val="26"/>
        </w:rPr>
        <w:t xml:space="preserve"> or </w:t>
      </w:r>
      <w:r w:rsidR="00740BC4">
        <w:rPr>
          <w:rFonts w:ascii="Garamond" w:hAnsi="Garamond"/>
          <w:sz w:val="26"/>
          <w:szCs w:val="26"/>
        </w:rPr>
        <w:t>“</w:t>
      </w:r>
      <w:r w:rsidR="00344B19">
        <w:rPr>
          <w:rFonts w:ascii="Garamond" w:hAnsi="Garamond"/>
          <w:sz w:val="26"/>
          <w:szCs w:val="26"/>
        </w:rPr>
        <w:t>may be</w:t>
      </w:r>
      <w:r w:rsidR="00740BC4">
        <w:rPr>
          <w:rFonts w:ascii="Garamond" w:hAnsi="Garamond"/>
          <w:sz w:val="26"/>
          <w:szCs w:val="26"/>
        </w:rPr>
        <w:t>”</w:t>
      </w:r>
      <w:r w:rsidR="00344B19">
        <w:rPr>
          <w:rFonts w:ascii="Garamond" w:hAnsi="Garamond"/>
          <w:sz w:val="26"/>
          <w:szCs w:val="26"/>
        </w:rPr>
        <w:t xml:space="preserve">); </w:t>
      </w:r>
      <w:r w:rsidR="001461B6">
        <w:rPr>
          <w:rFonts w:ascii="Garamond" w:hAnsi="Garamond"/>
          <w:sz w:val="26"/>
          <w:szCs w:val="26"/>
        </w:rPr>
        <w:t xml:space="preserve">the </w:t>
      </w:r>
      <w:r w:rsidR="00344B19">
        <w:rPr>
          <w:rFonts w:ascii="Garamond" w:hAnsi="Garamond"/>
          <w:sz w:val="26"/>
          <w:szCs w:val="26"/>
        </w:rPr>
        <w:t>absence of imperatives (</w:t>
      </w:r>
      <w:r w:rsidR="00740BC4">
        <w:rPr>
          <w:rFonts w:ascii="Garamond" w:hAnsi="Garamond"/>
          <w:sz w:val="26"/>
          <w:szCs w:val="26"/>
        </w:rPr>
        <w:t>“</w:t>
      </w:r>
      <w:r w:rsidR="00344B19">
        <w:rPr>
          <w:rFonts w:ascii="Garamond" w:hAnsi="Garamond"/>
          <w:sz w:val="26"/>
          <w:szCs w:val="26"/>
        </w:rPr>
        <w:t>Could you call my lawyer</w:t>
      </w:r>
      <w:r w:rsidR="00740BC4">
        <w:rPr>
          <w:rFonts w:ascii="Garamond" w:hAnsi="Garamond"/>
          <w:sz w:val="26"/>
          <w:szCs w:val="26"/>
        </w:rPr>
        <w:t>”</w:t>
      </w:r>
      <w:r w:rsidR="00344B19">
        <w:rPr>
          <w:rFonts w:ascii="Garamond" w:hAnsi="Garamond"/>
          <w:sz w:val="26"/>
          <w:szCs w:val="26"/>
        </w:rPr>
        <w:t xml:space="preserve"> versus </w:t>
      </w:r>
      <w:r w:rsidR="00740BC4">
        <w:rPr>
          <w:rFonts w:ascii="Garamond" w:hAnsi="Garamond"/>
          <w:sz w:val="26"/>
          <w:szCs w:val="26"/>
        </w:rPr>
        <w:t>“</w:t>
      </w:r>
      <w:r w:rsidR="00344B19">
        <w:rPr>
          <w:rFonts w:ascii="Garamond" w:hAnsi="Garamond"/>
          <w:sz w:val="26"/>
          <w:szCs w:val="26"/>
        </w:rPr>
        <w:t>Call my lawyer</w:t>
      </w:r>
      <w:r w:rsidR="00740BC4">
        <w:rPr>
          <w:rFonts w:ascii="Garamond" w:hAnsi="Garamond"/>
          <w:sz w:val="26"/>
          <w:szCs w:val="26"/>
        </w:rPr>
        <w:t>”</w:t>
      </w:r>
      <w:r w:rsidR="00344B19">
        <w:rPr>
          <w:rFonts w:ascii="Garamond" w:hAnsi="Garamond"/>
          <w:sz w:val="26"/>
          <w:szCs w:val="26"/>
        </w:rPr>
        <w:t>);</w:t>
      </w:r>
      <w:r w:rsidR="00954A2E">
        <w:rPr>
          <w:rFonts w:ascii="Garamond" w:hAnsi="Garamond"/>
          <w:sz w:val="26"/>
          <w:szCs w:val="26"/>
        </w:rPr>
        <w:t xml:space="preserve"> and</w:t>
      </w:r>
      <w:r w:rsidR="00344B19">
        <w:rPr>
          <w:rFonts w:ascii="Garamond" w:hAnsi="Garamond"/>
          <w:sz w:val="26"/>
          <w:szCs w:val="26"/>
        </w:rPr>
        <w:t xml:space="preserve"> rising intonation </w:t>
      </w:r>
      <w:r w:rsidR="0089671D">
        <w:rPr>
          <w:rFonts w:ascii="Garamond" w:hAnsi="Garamond"/>
          <w:sz w:val="26"/>
          <w:szCs w:val="26"/>
        </w:rPr>
        <w:t>(</w:t>
      </w:r>
      <w:r w:rsidR="00740BC4">
        <w:rPr>
          <w:rFonts w:ascii="Garamond" w:hAnsi="Garamond"/>
          <w:sz w:val="26"/>
          <w:szCs w:val="26"/>
        </w:rPr>
        <w:t>“</w:t>
      </w:r>
      <w:r w:rsidR="0089671D">
        <w:rPr>
          <w:rFonts w:ascii="Garamond" w:hAnsi="Garamond"/>
          <w:sz w:val="26"/>
          <w:szCs w:val="26"/>
        </w:rPr>
        <w:t>I need a lawyer</w:t>
      </w:r>
      <w:r w:rsidR="00740BC4">
        <w:rPr>
          <w:rFonts w:ascii="Garamond" w:hAnsi="Garamond"/>
          <w:sz w:val="26"/>
          <w:szCs w:val="26"/>
        </w:rPr>
        <w:t>”</w:t>
      </w:r>
      <w:r w:rsidR="0089671D">
        <w:rPr>
          <w:rFonts w:ascii="Garamond" w:hAnsi="Garamond"/>
          <w:sz w:val="26"/>
          <w:szCs w:val="26"/>
        </w:rPr>
        <w:t xml:space="preserve"> as a declarative versus </w:t>
      </w:r>
      <w:r w:rsidR="00740BC4">
        <w:rPr>
          <w:rFonts w:ascii="Garamond" w:hAnsi="Garamond"/>
          <w:sz w:val="26"/>
          <w:szCs w:val="26"/>
        </w:rPr>
        <w:t>“</w:t>
      </w:r>
      <w:r w:rsidR="0089671D">
        <w:rPr>
          <w:rFonts w:ascii="Garamond" w:hAnsi="Garamond"/>
          <w:sz w:val="26"/>
          <w:szCs w:val="26"/>
        </w:rPr>
        <w:t>I need a lawyer?</w:t>
      </w:r>
      <w:r w:rsidR="00740BC4">
        <w:rPr>
          <w:rFonts w:ascii="Garamond" w:hAnsi="Garamond"/>
          <w:sz w:val="26"/>
          <w:szCs w:val="26"/>
        </w:rPr>
        <w:t>”</w:t>
      </w:r>
      <w:r w:rsidR="0089671D">
        <w:rPr>
          <w:rFonts w:ascii="Garamond" w:hAnsi="Garamond"/>
          <w:sz w:val="26"/>
          <w:szCs w:val="26"/>
        </w:rPr>
        <w:t xml:space="preserve"> with an uptick at the end to indicate a question)</w:t>
      </w:r>
      <w:r w:rsidR="00344B19">
        <w:rPr>
          <w:rFonts w:ascii="Garamond" w:hAnsi="Garamond"/>
          <w:sz w:val="26"/>
          <w:szCs w:val="26"/>
        </w:rPr>
        <w:t>.</w:t>
      </w:r>
      <w:r w:rsidR="0089671D">
        <w:rPr>
          <w:rFonts w:ascii="Garamond" w:hAnsi="Garamond"/>
          <w:sz w:val="26"/>
          <w:szCs w:val="26"/>
        </w:rPr>
        <w:t xml:space="preserve"> Professor Ainsworth shows that power imbalances affect the way people speak, so people who are not in positions of power (such as suspects being interviewed by the police) are more likely to adopt the indirect speech patterns of the female register.</w:t>
      </w:r>
    </w:p>
    <w:p w14:paraId="426882DB" w14:textId="77777777" w:rsidR="0089671D" w:rsidRDefault="0089671D" w:rsidP="00144DF5">
      <w:pPr>
        <w:rPr>
          <w:rFonts w:ascii="Garamond" w:hAnsi="Garamond"/>
          <w:sz w:val="26"/>
          <w:szCs w:val="26"/>
        </w:rPr>
      </w:pPr>
      <w:r>
        <w:rPr>
          <w:rFonts w:ascii="Garamond" w:hAnsi="Garamond"/>
          <w:sz w:val="26"/>
          <w:szCs w:val="26"/>
        </w:rPr>
        <w:t xml:space="preserve">Professor Ainsworth (who, incidentally, was writing before </w:t>
      </w:r>
      <w:r w:rsidRPr="00327832">
        <w:rPr>
          <w:rFonts w:ascii="Garamond" w:hAnsi="Garamond"/>
          <w:i/>
          <w:sz w:val="26"/>
          <w:szCs w:val="26"/>
        </w:rPr>
        <w:t>Davis</w:t>
      </w:r>
      <w:r>
        <w:rPr>
          <w:rFonts w:ascii="Garamond" w:hAnsi="Garamond"/>
          <w:sz w:val="26"/>
          <w:szCs w:val="26"/>
        </w:rPr>
        <w:t xml:space="preserve"> came out) suggests </w:t>
      </w:r>
      <w:r w:rsidR="001461B6">
        <w:rPr>
          <w:rFonts w:ascii="Garamond" w:hAnsi="Garamond"/>
          <w:sz w:val="26"/>
          <w:szCs w:val="26"/>
        </w:rPr>
        <w:t xml:space="preserve">a revision to </w:t>
      </w:r>
      <w:r w:rsidR="001461B6" w:rsidRPr="001461B6">
        <w:rPr>
          <w:rFonts w:ascii="Garamond" w:hAnsi="Garamond"/>
          <w:i/>
          <w:sz w:val="26"/>
          <w:szCs w:val="26"/>
        </w:rPr>
        <w:t>Miranda</w:t>
      </w:r>
      <w:r>
        <w:rPr>
          <w:rFonts w:ascii="Garamond" w:hAnsi="Garamond"/>
          <w:sz w:val="26"/>
          <w:szCs w:val="26"/>
        </w:rPr>
        <w:t xml:space="preserve"> that explicitly recognizes that different people speak differently and that incorporates </w:t>
      </w:r>
      <w:r w:rsidR="001461B6">
        <w:rPr>
          <w:rFonts w:ascii="Garamond" w:hAnsi="Garamond"/>
          <w:sz w:val="26"/>
          <w:szCs w:val="26"/>
        </w:rPr>
        <w:t xml:space="preserve">these </w:t>
      </w:r>
      <w:r>
        <w:rPr>
          <w:rFonts w:ascii="Garamond" w:hAnsi="Garamond"/>
          <w:sz w:val="26"/>
          <w:szCs w:val="26"/>
        </w:rPr>
        <w:t>different registers. While that would be ideal (and perhaps it</w:t>
      </w:r>
      <w:r w:rsidR="00740BC4">
        <w:rPr>
          <w:rFonts w:ascii="Garamond" w:hAnsi="Garamond"/>
          <w:sz w:val="26"/>
          <w:szCs w:val="26"/>
        </w:rPr>
        <w:t>’</w:t>
      </w:r>
      <w:r>
        <w:rPr>
          <w:rFonts w:ascii="Garamond" w:hAnsi="Garamond"/>
          <w:sz w:val="26"/>
          <w:szCs w:val="26"/>
        </w:rPr>
        <w:t xml:space="preserve">s something we should </w:t>
      </w:r>
      <w:r w:rsidR="00954A2E">
        <w:rPr>
          <w:rFonts w:ascii="Garamond" w:hAnsi="Garamond"/>
          <w:sz w:val="26"/>
          <w:szCs w:val="26"/>
        </w:rPr>
        <w:t>argue</w:t>
      </w:r>
      <w:r>
        <w:rPr>
          <w:rFonts w:ascii="Garamond" w:hAnsi="Garamond"/>
          <w:sz w:val="26"/>
          <w:szCs w:val="26"/>
        </w:rPr>
        <w:t xml:space="preserve"> in the right case), the law already allows us to use her research to argue for suppressing statements after what might otherwise appear to </w:t>
      </w:r>
      <w:r w:rsidR="00954A2E">
        <w:rPr>
          <w:rFonts w:ascii="Garamond" w:hAnsi="Garamond"/>
          <w:sz w:val="26"/>
          <w:szCs w:val="26"/>
        </w:rPr>
        <w:t>have been an</w:t>
      </w:r>
      <w:r>
        <w:rPr>
          <w:rFonts w:ascii="Garamond" w:hAnsi="Garamond"/>
          <w:sz w:val="26"/>
          <w:szCs w:val="26"/>
        </w:rPr>
        <w:t xml:space="preserve"> ambiguous invocation. The law, after all, doesn</w:t>
      </w:r>
      <w:r w:rsidR="00740BC4">
        <w:rPr>
          <w:rFonts w:ascii="Garamond" w:hAnsi="Garamond"/>
          <w:sz w:val="26"/>
          <w:szCs w:val="26"/>
        </w:rPr>
        <w:t>’</w:t>
      </w:r>
      <w:r>
        <w:rPr>
          <w:rFonts w:ascii="Garamond" w:hAnsi="Garamond"/>
          <w:sz w:val="26"/>
          <w:szCs w:val="26"/>
        </w:rPr>
        <w:t>t say the suspect must communicate his or her invocation in the register of the officers conducting the interview. While that is essentially the assumption the courts use (i.e., that the suspect must invoke as would a white male in a position of dominance), it</w:t>
      </w:r>
      <w:r w:rsidR="00740BC4">
        <w:rPr>
          <w:rFonts w:ascii="Garamond" w:hAnsi="Garamond"/>
          <w:sz w:val="26"/>
          <w:szCs w:val="26"/>
        </w:rPr>
        <w:t>’</w:t>
      </w:r>
      <w:r>
        <w:rPr>
          <w:rFonts w:ascii="Garamond" w:hAnsi="Garamond"/>
          <w:sz w:val="26"/>
          <w:szCs w:val="26"/>
        </w:rPr>
        <w:t>s not the law. And we can use research like Professor Ainsworth</w:t>
      </w:r>
      <w:r w:rsidR="00740BC4">
        <w:rPr>
          <w:rFonts w:ascii="Garamond" w:hAnsi="Garamond"/>
          <w:sz w:val="26"/>
          <w:szCs w:val="26"/>
        </w:rPr>
        <w:t>’</w:t>
      </w:r>
      <w:r>
        <w:rPr>
          <w:rFonts w:ascii="Garamond" w:hAnsi="Garamond"/>
          <w:sz w:val="26"/>
          <w:szCs w:val="26"/>
        </w:rPr>
        <w:t xml:space="preserve">s to show the courts </w:t>
      </w:r>
      <w:r w:rsidR="00923B8D">
        <w:rPr>
          <w:rFonts w:ascii="Garamond" w:hAnsi="Garamond"/>
          <w:sz w:val="26"/>
          <w:szCs w:val="26"/>
        </w:rPr>
        <w:t>that people use indirect words to make unambiguous requests. Ultimately, that will make it easier for us to argue that</w:t>
      </w:r>
      <w:r>
        <w:rPr>
          <w:rFonts w:ascii="Garamond" w:hAnsi="Garamond"/>
          <w:sz w:val="26"/>
          <w:szCs w:val="26"/>
        </w:rPr>
        <w:t xml:space="preserve"> an objectively reasonable police officer would understand</w:t>
      </w:r>
      <w:r w:rsidR="00923B8D">
        <w:rPr>
          <w:rFonts w:ascii="Garamond" w:hAnsi="Garamond"/>
          <w:sz w:val="26"/>
          <w:szCs w:val="26"/>
        </w:rPr>
        <w:t xml:space="preserve"> that</w:t>
      </w:r>
      <w:r>
        <w:rPr>
          <w:rFonts w:ascii="Garamond" w:hAnsi="Garamond"/>
          <w:sz w:val="26"/>
          <w:szCs w:val="26"/>
        </w:rPr>
        <w:t xml:space="preserve"> a suspect </w:t>
      </w:r>
      <w:r w:rsidR="00923B8D">
        <w:rPr>
          <w:rFonts w:ascii="Garamond" w:hAnsi="Garamond"/>
          <w:sz w:val="26"/>
          <w:szCs w:val="26"/>
        </w:rPr>
        <w:t>who says</w:t>
      </w:r>
      <w:r>
        <w:rPr>
          <w:rFonts w:ascii="Garamond" w:hAnsi="Garamond"/>
          <w:sz w:val="26"/>
          <w:szCs w:val="26"/>
        </w:rPr>
        <w:t xml:space="preserve">, </w:t>
      </w:r>
      <w:r w:rsidR="00740BC4">
        <w:rPr>
          <w:rFonts w:ascii="Garamond" w:hAnsi="Garamond"/>
          <w:sz w:val="26"/>
          <w:szCs w:val="26"/>
        </w:rPr>
        <w:t>“</w:t>
      </w:r>
      <w:r>
        <w:rPr>
          <w:rFonts w:ascii="Garamond" w:hAnsi="Garamond"/>
          <w:sz w:val="26"/>
          <w:szCs w:val="26"/>
        </w:rPr>
        <w:t>I think I should talk to a lawyer?</w:t>
      </w:r>
      <w:r w:rsidR="00740BC4">
        <w:rPr>
          <w:rFonts w:ascii="Garamond" w:hAnsi="Garamond"/>
          <w:sz w:val="26"/>
          <w:szCs w:val="26"/>
        </w:rPr>
        <w:t>”</w:t>
      </w:r>
      <w:r w:rsidR="00923B8D">
        <w:rPr>
          <w:rFonts w:ascii="Garamond" w:hAnsi="Garamond"/>
          <w:sz w:val="26"/>
          <w:szCs w:val="26"/>
        </w:rPr>
        <w:t xml:space="preserve"> means, “Get me a lawyer now.” </w:t>
      </w:r>
    </w:p>
    <w:p w14:paraId="3E70E34D" w14:textId="77777777" w:rsidR="00E26098" w:rsidRDefault="00E26098" w:rsidP="00144DF5">
      <w:pPr>
        <w:rPr>
          <w:rFonts w:ascii="Garamond" w:hAnsi="Garamond"/>
          <w:sz w:val="26"/>
          <w:szCs w:val="26"/>
        </w:rPr>
      </w:pPr>
      <w:r>
        <w:rPr>
          <w:rFonts w:ascii="Garamond" w:hAnsi="Garamond"/>
          <w:sz w:val="26"/>
          <w:szCs w:val="26"/>
        </w:rPr>
        <w:t xml:space="preserve">There is more on </w:t>
      </w:r>
      <w:r w:rsidRPr="00E26098">
        <w:rPr>
          <w:rFonts w:ascii="Garamond" w:hAnsi="Garamond"/>
          <w:i/>
          <w:sz w:val="26"/>
          <w:szCs w:val="26"/>
        </w:rPr>
        <w:t>Miranda</w:t>
      </w:r>
      <w:r>
        <w:rPr>
          <w:rFonts w:ascii="Garamond" w:hAnsi="Garamond"/>
          <w:sz w:val="26"/>
          <w:szCs w:val="26"/>
        </w:rPr>
        <w:t xml:space="preserve"> and invocations </w:t>
      </w:r>
      <w:r w:rsidR="001461B6">
        <w:rPr>
          <w:rFonts w:ascii="Garamond" w:hAnsi="Garamond"/>
          <w:sz w:val="26"/>
          <w:szCs w:val="26"/>
        </w:rPr>
        <w:t xml:space="preserve">in the section on </w:t>
      </w:r>
      <w:r>
        <w:rPr>
          <w:rFonts w:ascii="Garamond" w:hAnsi="Garamond"/>
          <w:sz w:val="26"/>
          <w:szCs w:val="26"/>
        </w:rPr>
        <w:t>juvenile</w:t>
      </w:r>
      <w:r w:rsidR="001461B6">
        <w:rPr>
          <w:rFonts w:ascii="Garamond" w:hAnsi="Garamond"/>
          <w:sz w:val="26"/>
          <w:szCs w:val="26"/>
        </w:rPr>
        <w:t>s</w:t>
      </w:r>
      <w:r>
        <w:rPr>
          <w:rFonts w:ascii="Garamond" w:hAnsi="Garamond"/>
          <w:sz w:val="26"/>
          <w:szCs w:val="26"/>
        </w:rPr>
        <w:t xml:space="preserve"> below. </w:t>
      </w:r>
    </w:p>
    <w:p w14:paraId="0BCCCF5A" w14:textId="77777777" w:rsidR="0089671D" w:rsidRPr="005F0419" w:rsidRDefault="0089671D" w:rsidP="00E26098">
      <w:pPr>
        <w:pStyle w:val="ListParagraph"/>
        <w:keepNext/>
        <w:keepLines/>
        <w:numPr>
          <w:ilvl w:val="0"/>
          <w:numId w:val="1"/>
        </w:numPr>
        <w:ind w:left="720"/>
        <w:rPr>
          <w:rFonts w:ascii="Garamond" w:hAnsi="Garamond"/>
          <w:b/>
          <w:sz w:val="26"/>
          <w:szCs w:val="26"/>
        </w:rPr>
      </w:pPr>
      <w:r w:rsidRPr="005F0419">
        <w:rPr>
          <w:rFonts w:ascii="Garamond" w:hAnsi="Garamond"/>
          <w:b/>
          <w:sz w:val="26"/>
          <w:szCs w:val="26"/>
        </w:rPr>
        <w:t>False Confessions</w:t>
      </w:r>
    </w:p>
    <w:p w14:paraId="4B3B6305" w14:textId="77777777" w:rsidR="0089671D" w:rsidRDefault="005F0419" w:rsidP="00E26098">
      <w:pPr>
        <w:keepNext/>
        <w:keepLines/>
        <w:rPr>
          <w:rFonts w:ascii="Garamond" w:hAnsi="Garamond"/>
          <w:sz w:val="26"/>
          <w:szCs w:val="26"/>
        </w:rPr>
      </w:pPr>
      <w:r>
        <w:rPr>
          <w:rFonts w:ascii="Garamond" w:hAnsi="Garamond"/>
          <w:sz w:val="26"/>
          <w:szCs w:val="26"/>
        </w:rPr>
        <w:t>A confession can be the most devastating piece of evidence against a criminal defendant. Surveillance videos are often grainy. DNA can occasionally be explained by transference. B</w:t>
      </w:r>
      <w:r w:rsidR="00923B8D">
        <w:rPr>
          <w:rFonts w:ascii="Garamond" w:hAnsi="Garamond"/>
          <w:sz w:val="26"/>
          <w:szCs w:val="26"/>
        </w:rPr>
        <w:t>ut a confession is bulletproof: W</w:t>
      </w:r>
      <w:r>
        <w:rPr>
          <w:rFonts w:ascii="Garamond" w:hAnsi="Garamond"/>
          <w:sz w:val="26"/>
          <w:szCs w:val="26"/>
        </w:rPr>
        <w:t>ho in their right mind would confess to something they didn</w:t>
      </w:r>
      <w:r w:rsidR="00740BC4">
        <w:rPr>
          <w:rFonts w:ascii="Garamond" w:hAnsi="Garamond"/>
          <w:sz w:val="26"/>
          <w:szCs w:val="26"/>
        </w:rPr>
        <w:t>’</w:t>
      </w:r>
      <w:r>
        <w:rPr>
          <w:rFonts w:ascii="Garamond" w:hAnsi="Garamond"/>
          <w:sz w:val="26"/>
          <w:szCs w:val="26"/>
        </w:rPr>
        <w:t xml:space="preserve">t do? </w:t>
      </w:r>
    </w:p>
    <w:p w14:paraId="4052A0EA" w14:textId="77777777" w:rsidR="005F0419" w:rsidRDefault="005F0419" w:rsidP="00144DF5">
      <w:pPr>
        <w:rPr>
          <w:rFonts w:ascii="Garamond" w:hAnsi="Garamond"/>
          <w:sz w:val="26"/>
          <w:szCs w:val="26"/>
        </w:rPr>
      </w:pPr>
      <w:r>
        <w:rPr>
          <w:rFonts w:ascii="Garamond" w:hAnsi="Garamond"/>
          <w:sz w:val="26"/>
          <w:szCs w:val="26"/>
        </w:rPr>
        <w:t>Well, lots of people it turns out. Of the Innocence Project</w:t>
      </w:r>
      <w:r w:rsidR="00740BC4">
        <w:rPr>
          <w:rFonts w:ascii="Garamond" w:hAnsi="Garamond"/>
          <w:sz w:val="26"/>
          <w:szCs w:val="26"/>
        </w:rPr>
        <w:t>’</w:t>
      </w:r>
      <w:r>
        <w:rPr>
          <w:rFonts w:ascii="Garamond" w:hAnsi="Garamond"/>
          <w:sz w:val="26"/>
          <w:szCs w:val="26"/>
        </w:rPr>
        <w:t>s 364 documented DNA exonerations, 28% confessed to the crime.</w:t>
      </w:r>
      <w:r w:rsidR="00085B7A">
        <w:rPr>
          <w:rStyle w:val="FootnoteReference"/>
          <w:rFonts w:ascii="Garamond" w:hAnsi="Garamond"/>
          <w:sz w:val="26"/>
          <w:szCs w:val="26"/>
        </w:rPr>
        <w:footnoteReference w:id="33"/>
      </w:r>
      <w:r>
        <w:rPr>
          <w:rFonts w:ascii="Garamond" w:hAnsi="Garamond"/>
          <w:sz w:val="26"/>
          <w:szCs w:val="26"/>
        </w:rPr>
        <w:t xml:space="preserve"> That is, more than a quarter of the people later exonerated by DNA evidence confessed to something they demonstrably, unequivocally did not do. And those are just the ones we know about. </w:t>
      </w:r>
    </w:p>
    <w:p w14:paraId="3CF412A4" w14:textId="77777777" w:rsidR="005F0419" w:rsidRDefault="005F0419" w:rsidP="00144DF5">
      <w:pPr>
        <w:rPr>
          <w:rFonts w:ascii="Garamond" w:hAnsi="Garamond"/>
          <w:sz w:val="26"/>
          <w:szCs w:val="26"/>
        </w:rPr>
      </w:pPr>
      <w:r>
        <w:rPr>
          <w:rFonts w:ascii="Garamond" w:hAnsi="Garamond"/>
          <w:sz w:val="26"/>
          <w:szCs w:val="26"/>
        </w:rPr>
        <w:lastRenderedPageBreak/>
        <w:t>There is a lot of science surrounding false confessions and why they happen, and to challenge the admissibility of a confession on appeal, you obviously need an objection below. But a confession is normally going to sink just about any prejudice argument you have</w:t>
      </w:r>
      <w:r w:rsidR="00100811">
        <w:rPr>
          <w:rFonts w:ascii="Garamond" w:hAnsi="Garamond"/>
          <w:sz w:val="26"/>
          <w:szCs w:val="26"/>
        </w:rPr>
        <w:t>, so if there is a confession and it looks shaky, point that out to the court. The following factors heighten the risk of a false confession:</w:t>
      </w:r>
    </w:p>
    <w:p w14:paraId="7A7BEB0D" w14:textId="77777777" w:rsidR="00100811" w:rsidRDefault="00100811" w:rsidP="00144DF5">
      <w:pPr>
        <w:pStyle w:val="ListParagraph"/>
        <w:numPr>
          <w:ilvl w:val="0"/>
          <w:numId w:val="5"/>
        </w:numPr>
        <w:ind w:left="720"/>
        <w:rPr>
          <w:rFonts w:ascii="Garamond" w:hAnsi="Garamond"/>
          <w:sz w:val="26"/>
          <w:szCs w:val="26"/>
        </w:rPr>
      </w:pPr>
      <w:r>
        <w:rPr>
          <w:rFonts w:ascii="Garamond" w:hAnsi="Garamond"/>
          <w:sz w:val="26"/>
          <w:szCs w:val="26"/>
        </w:rPr>
        <w:t>Threats or use of force;</w:t>
      </w:r>
    </w:p>
    <w:p w14:paraId="7EF54AE1" w14:textId="77777777" w:rsidR="00100811" w:rsidRDefault="00100811" w:rsidP="00144DF5">
      <w:pPr>
        <w:pStyle w:val="ListParagraph"/>
        <w:numPr>
          <w:ilvl w:val="0"/>
          <w:numId w:val="5"/>
        </w:numPr>
        <w:ind w:left="720"/>
        <w:rPr>
          <w:rFonts w:ascii="Garamond" w:hAnsi="Garamond"/>
          <w:sz w:val="26"/>
          <w:szCs w:val="26"/>
        </w:rPr>
      </w:pPr>
      <w:r>
        <w:rPr>
          <w:rFonts w:ascii="Garamond" w:hAnsi="Garamond"/>
          <w:sz w:val="26"/>
          <w:szCs w:val="26"/>
        </w:rPr>
        <w:t>The anxiety attendant to physical confinement;</w:t>
      </w:r>
    </w:p>
    <w:p w14:paraId="23468F01" w14:textId="77777777" w:rsidR="00100811" w:rsidRDefault="00100811" w:rsidP="00144DF5">
      <w:pPr>
        <w:pStyle w:val="ListParagraph"/>
        <w:numPr>
          <w:ilvl w:val="0"/>
          <w:numId w:val="5"/>
        </w:numPr>
        <w:ind w:left="720"/>
        <w:rPr>
          <w:rFonts w:ascii="Garamond" w:hAnsi="Garamond"/>
          <w:sz w:val="26"/>
          <w:szCs w:val="26"/>
        </w:rPr>
      </w:pPr>
      <w:r>
        <w:rPr>
          <w:rFonts w:ascii="Garamond" w:hAnsi="Garamond"/>
          <w:sz w:val="26"/>
          <w:szCs w:val="26"/>
        </w:rPr>
        <w:t>Psychologically coercive tools of the police like interrupting the accused, ignoring the suspect</w:t>
      </w:r>
      <w:r w:rsidR="00740BC4">
        <w:rPr>
          <w:rFonts w:ascii="Garamond" w:hAnsi="Garamond"/>
          <w:sz w:val="26"/>
          <w:szCs w:val="26"/>
        </w:rPr>
        <w:t>’</w:t>
      </w:r>
      <w:r>
        <w:rPr>
          <w:rFonts w:ascii="Garamond" w:hAnsi="Garamond"/>
          <w:sz w:val="26"/>
          <w:szCs w:val="26"/>
        </w:rPr>
        <w:t xml:space="preserve">s objections to the police narrative, and making up evidence; </w:t>
      </w:r>
    </w:p>
    <w:p w14:paraId="64E8D72D" w14:textId="77777777" w:rsidR="00100811" w:rsidRDefault="00100811" w:rsidP="00144DF5">
      <w:pPr>
        <w:pStyle w:val="ListParagraph"/>
        <w:numPr>
          <w:ilvl w:val="0"/>
          <w:numId w:val="5"/>
        </w:numPr>
        <w:ind w:left="720"/>
        <w:rPr>
          <w:rFonts w:ascii="Garamond" w:hAnsi="Garamond"/>
          <w:sz w:val="26"/>
          <w:szCs w:val="26"/>
        </w:rPr>
      </w:pPr>
      <w:r>
        <w:rPr>
          <w:rFonts w:ascii="Garamond" w:hAnsi="Garamond"/>
          <w:sz w:val="26"/>
          <w:szCs w:val="26"/>
        </w:rPr>
        <w:t>The promises of leniency coupled with threats.</w:t>
      </w:r>
      <w:r w:rsidR="00085B7A">
        <w:rPr>
          <w:rStyle w:val="FootnoteReference"/>
          <w:rFonts w:ascii="Garamond" w:hAnsi="Garamond"/>
          <w:sz w:val="26"/>
          <w:szCs w:val="26"/>
        </w:rPr>
        <w:footnoteReference w:id="34"/>
      </w:r>
    </w:p>
    <w:p w14:paraId="5393D3EE" w14:textId="77777777" w:rsidR="00923B8D" w:rsidRDefault="00100811" w:rsidP="00100811">
      <w:pPr>
        <w:rPr>
          <w:rFonts w:ascii="Garamond" w:hAnsi="Garamond"/>
          <w:sz w:val="26"/>
          <w:szCs w:val="26"/>
        </w:rPr>
      </w:pPr>
      <w:r>
        <w:rPr>
          <w:rFonts w:ascii="Garamond" w:hAnsi="Garamond"/>
          <w:sz w:val="26"/>
          <w:szCs w:val="26"/>
        </w:rPr>
        <w:t xml:space="preserve">False confessions in fact are grouped into four different categories that </w:t>
      </w:r>
      <w:r w:rsidR="00923B8D">
        <w:rPr>
          <w:rFonts w:ascii="Garamond" w:hAnsi="Garamond"/>
          <w:sz w:val="26"/>
          <w:szCs w:val="26"/>
        </w:rPr>
        <w:t>explain</w:t>
      </w:r>
      <w:r>
        <w:rPr>
          <w:rFonts w:ascii="Garamond" w:hAnsi="Garamond"/>
          <w:sz w:val="26"/>
          <w:szCs w:val="26"/>
        </w:rPr>
        <w:t xml:space="preserve"> why an innocent person would confess: stress-compliant</w:t>
      </w:r>
      <w:r w:rsidR="00C474EE">
        <w:rPr>
          <w:rFonts w:ascii="Garamond" w:hAnsi="Garamond"/>
          <w:sz w:val="26"/>
          <w:szCs w:val="26"/>
        </w:rPr>
        <w:t>;</w:t>
      </w:r>
      <w:r>
        <w:rPr>
          <w:rFonts w:ascii="Garamond" w:hAnsi="Garamond"/>
          <w:sz w:val="26"/>
          <w:szCs w:val="26"/>
        </w:rPr>
        <w:t xml:space="preserve"> </w:t>
      </w:r>
      <w:r w:rsidR="00311F9B">
        <w:rPr>
          <w:rFonts w:ascii="Garamond" w:hAnsi="Garamond"/>
          <w:sz w:val="26"/>
          <w:szCs w:val="26"/>
        </w:rPr>
        <w:t xml:space="preserve">coerced compliant; non-coerced persuaded; </w:t>
      </w:r>
      <w:r w:rsidR="00C474EE">
        <w:rPr>
          <w:rFonts w:ascii="Garamond" w:hAnsi="Garamond"/>
          <w:sz w:val="26"/>
          <w:szCs w:val="26"/>
        </w:rPr>
        <w:t xml:space="preserve">and </w:t>
      </w:r>
      <w:r w:rsidR="00311F9B">
        <w:rPr>
          <w:rFonts w:ascii="Garamond" w:hAnsi="Garamond"/>
          <w:sz w:val="26"/>
          <w:szCs w:val="26"/>
        </w:rPr>
        <w:t>coerced-persuaded.</w:t>
      </w:r>
      <w:r w:rsidR="000A300C">
        <w:rPr>
          <w:rStyle w:val="FootnoteReference"/>
          <w:rFonts w:ascii="Garamond" w:hAnsi="Garamond"/>
          <w:sz w:val="26"/>
          <w:szCs w:val="26"/>
        </w:rPr>
        <w:footnoteReference w:id="35"/>
      </w:r>
      <w:r w:rsidR="00311F9B">
        <w:rPr>
          <w:rFonts w:ascii="Garamond" w:hAnsi="Garamond"/>
          <w:sz w:val="26"/>
          <w:szCs w:val="26"/>
        </w:rPr>
        <w:t xml:space="preserve"> </w:t>
      </w:r>
    </w:p>
    <w:p w14:paraId="69363197" w14:textId="77777777" w:rsidR="00311F9B" w:rsidRDefault="00311F9B" w:rsidP="00144DF5">
      <w:pPr>
        <w:rPr>
          <w:rFonts w:ascii="Garamond" w:hAnsi="Garamond"/>
          <w:sz w:val="26"/>
          <w:szCs w:val="26"/>
        </w:rPr>
      </w:pPr>
      <w:r>
        <w:rPr>
          <w:rFonts w:ascii="Garamond" w:hAnsi="Garamond"/>
          <w:sz w:val="26"/>
          <w:szCs w:val="26"/>
        </w:rPr>
        <w:t>In stress-compliant false confessions, the suspect has been under the physical and emotional stress of interrogation and comes to believe the only way to escape the uncomfortable position is to confess. The rationale behind confessing is to get out of the physical and emotional discomfort. In coerced-compliant false confessions, the suspect responds to promises of leniency or threats of harm by confessing. While these are not always (or even often) explicit these days, a common example would be where the interrogator says he would accept a version of the crime that was mitigated (an involuntary manslaughter for what was in actuality a premeditated murder). The suspect then rationally chooses to mitigate the future harm he believes is coming by choosing the lesser alternative.</w:t>
      </w:r>
    </w:p>
    <w:p w14:paraId="5F196FC8" w14:textId="77777777" w:rsidR="00311F9B" w:rsidRDefault="009917C0" w:rsidP="00144DF5">
      <w:pPr>
        <w:rPr>
          <w:rFonts w:ascii="Garamond" w:hAnsi="Garamond"/>
          <w:sz w:val="26"/>
          <w:szCs w:val="26"/>
        </w:rPr>
      </w:pPr>
      <w:r>
        <w:rPr>
          <w:rFonts w:ascii="Garamond" w:hAnsi="Garamond"/>
          <w:sz w:val="26"/>
          <w:szCs w:val="26"/>
        </w:rPr>
        <w:t>A persuaded false confession is one where the interrogator has undermined the suspect</w:t>
      </w:r>
      <w:r w:rsidR="00740BC4">
        <w:rPr>
          <w:rFonts w:ascii="Garamond" w:hAnsi="Garamond"/>
          <w:sz w:val="26"/>
          <w:szCs w:val="26"/>
        </w:rPr>
        <w:t>’</w:t>
      </w:r>
      <w:r>
        <w:rPr>
          <w:rFonts w:ascii="Garamond" w:hAnsi="Garamond"/>
          <w:sz w:val="26"/>
          <w:szCs w:val="26"/>
        </w:rPr>
        <w:t>s confidence in his own memory and has convinced the suspect that he is actually guilty. There can be further coercion (threats, promises, etc.), which would make the confession coerced-persuaded, or not. But in either case, the choice to confess is in some ways rational given that the suspect no longer believes in his own true memories of, for example, being somewhere else at the time of the crime.</w:t>
      </w:r>
      <w:r w:rsidR="00C474EE">
        <w:rPr>
          <w:rStyle w:val="FootnoteReference"/>
          <w:rFonts w:ascii="Garamond" w:hAnsi="Garamond"/>
          <w:sz w:val="26"/>
          <w:szCs w:val="26"/>
        </w:rPr>
        <w:footnoteReference w:id="36"/>
      </w:r>
    </w:p>
    <w:p w14:paraId="6DE22425" w14:textId="77777777" w:rsidR="00100811" w:rsidRDefault="00100811" w:rsidP="00144DF5">
      <w:pPr>
        <w:rPr>
          <w:rFonts w:ascii="Garamond" w:hAnsi="Garamond"/>
          <w:sz w:val="26"/>
          <w:szCs w:val="26"/>
        </w:rPr>
      </w:pPr>
      <w:r>
        <w:rPr>
          <w:rFonts w:ascii="Garamond" w:hAnsi="Garamond"/>
          <w:sz w:val="26"/>
          <w:szCs w:val="26"/>
        </w:rPr>
        <w:lastRenderedPageBreak/>
        <w:t xml:space="preserve">Again, intuitively, all of these factors would make it more likely that someone would confess to something they did not do, </w:t>
      </w:r>
      <w:r w:rsidR="007664F2">
        <w:rPr>
          <w:rFonts w:ascii="Garamond" w:hAnsi="Garamond"/>
          <w:sz w:val="26"/>
          <w:szCs w:val="26"/>
        </w:rPr>
        <w:t>and</w:t>
      </w:r>
      <w:r>
        <w:rPr>
          <w:rFonts w:ascii="Garamond" w:hAnsi="Garamond"/>
          <w:sz w:val="26"/>
          <w:szCs w:val="26"/>
        </w:rPr>
        <w:t xml:space="preserve"> our intuitions here are right. We can use this research to show the court that what appeared to be </w:t>
      </w:r>
      <w:r w:rsidR="009917C0">
        <w:rPr>
          <w:rFonts w:ascii="Garamond" w:hAnsi="Garamond"/>
          <w:sz w:val="26"/>
          <w:szCs w:val="26"/>
        </w:rPr>
        <w:t>a rock-solid confession actually wasn</w:t>
      </w:r>
      <w:r w:rsidR="00740BC4">
        <w:rPr>
          <w:rFonts w:ascii="Garamond" w:hAnsi="Garamond"/>
          <w:sz w:val="26"/>
          <w:szCs w:val="26"/>
        </w:rPr>
        <w:t>’</w:t>
      </w:r>
      <w:r w:rsidR="009917C0">
        <w:rPr>
          <w:rFonts w:ascii="Garamond" w:hAnsi="Garamond"/>
          <w:sz w:val="26"/>
          <w:szCs w:val="26"/>
        </w:rPr>
        <w:t xml:space="preserve">t, or to articulate why the confession was false. Essentially, as advocates, we can up our game in arguing prejudice by not just attacking the confession as false but by articulating how it came about and what sort of false confession it was. </w:t>
      </w:r>
      <w:r w:rsidR="00C474EE">
        <w:rPr>
          <w:rFonts w:ascii="Garamond" w:hAnsi="Garamond"/>
          <w:sz w:val="26"/>
          <w:szCs w:val="26"/>
        </w:rPr>
        <w:t xml:space="preserve">Moreover, these factors don’t apply just to entirely false confessions but also to the persuasiveness of a confession generally. </w:t>
      </w:r>
    </w:p>
    <w:p w14:paraId="17918D24" w14:textId="77777777" w:rsidR="008F791F" w:rsidRPr="008F791F" w:rsidRDefault="00724C3A" w:rsidP="00724C3A">
      <w:pPr>
        <w:pStyle w:val="ListParagraph"/>
        <w:numPr>
          <w:ilvl w:val="0"/>
          <w:numId w:val="1"/>
        </w:numPr>
        <w:ind w:left="720"/>
        <w:rPr>
          <w:rFonts w:ascii="Garamond" w:hAnsi="Garamond" w:cs="AppleSystemUIFont"/>
          <w:b/>
          <w:bCs/>
          <w:sz w:val="26"/>
          <w:szCs w:val="26"/>
        </w:rPr>
      </w:pPr>
      <w:r>
        <w:rPr>
          <w:rFonts w:ascii="Garamond" w:hAnsi="Garamond" w:cs="AppleSystemUIFont"/>
          <w:b/>
          <w:bCs/>
          <w:sz w:val="26"/>
          <w:szCs w:val="26"/>
        </w:rPr>
        <w:t>Racial Injustice in the Courtroom</w:t>
      </w:r>
      <w:r w:rsidR="008F791F" w:rsidRPr="008F791F">
        <w:rPr>
          <w:rFonts w:ascii="Garamond" w:hAnsi="Garamond" w:cs="AppleSystemUIFont"/>
          <w:b/>
          <w:bCs/>
          <w:sz w:val="26"/>
          <w:szCs w:val="26"/>
        </w:rPr>
        <w:t>: A Violation of the Racial Justice Act of 2020?</w:t>
      </w:r>
    </w:p>
    <w:p w14:paraId="45E04E8F" w14:textId="77777777" w:rsidR="008F791F" w:rsidRPr="00E4101F" w:rsidRDefault="008F791F" w:rsidP="00144DF5">
      <w:pPr>
        <w:rPr>
          <w:rFonts w:ascii="Garamond" w:hAnsi="Garamond" w:cs="AppleSystemUIFont"/>
          <w:sz w:val="26"/>
          <w:szCs w:val="26"/>
        </w:rPr>
      </w:pPr>
      <w:r>
        <w:rPr>
          <w:rFonts w:ascii="Garamond" w:hAnsi="Garamond" w:cs="AppleSystemUIFont"/>
          <w:sz w:val="26"/>
          <w:szCs w:val="26"/>
        </w:rPr>
        <w:t xml:space="preserve">On June 8, 2020, following the murder of George Floyd, </w:t>
      </w:r>
      <w:r w:rsidRPr="00E4101F">
        <w:rPr>
          <w:rFonts w:ascii="Garamond" w:hAnsi="Garamond" w:cs="AppleSystemUIFont"/>
          <w:sz w:val="26"/>
          <w:szCs w:val="26"/>
        </w:rPr>
        <w:t>California Chief Justice Tani G. Cantil-Sakauye issued the following statement:</w:t>
      </w:r>
    </w:p>
    <w:p w14:paraId="49328B6E" w14:textId="77777777" w:rsidR="008F791F" w:rsidRPr="003D6E7F" w:rsidRDefault="008F791F" w:rsidP="008F791F">
      <w:pPr>
        <w:ind w:left="720"/>
        <w:rPr>
          <w:rFonts w:ascii="Garamond" w:hAnsi="Garamond" w:cs="AppleSystemUIFont"/>
          <w:sz w:val="26"/>
          <w:szCs w:val="26"/>
        </w:rPr>
      </w:pPr>
      <w:r>
        <w:rPr>
          <w:rFonts w:ascii="Garamond" w:hAnsi="Garamond" w:cs="AppleSystemUIFont"/>
          <w:sz w:val="26"/>
          <w:szCs w:val="26"/>
        </w:rPr>
        <w:t>“</w:t>
      </w:r>
      <w:r w:rsidRPr="00E4101F">
        <w:rPr>
          <w:rFonts w:ascii="Garamond" w:hAnsi="Garamond" w:cs="AppleSystemUIFont"/>
          <w:sz w:val="26"/>
          <w:szCs w:val="26"/>
        </w:rPr>
        <w:t xml:space="preserve">I am deeply disturbed by the tragic deaths of George Floyd and others, as well as the action and inaction that led to these deaths. Justice is the first need addressed by the People in the preamble of our nation’s Constitution. As public servants, judicial officers swear an oath to protect and defend the Constitution. We must continue to remove barriers to access and fairness, to address conscious and unconscious bias—and yes, racism. All of us, regardless of gender, race, creed, color, sexual orientation or identity, deserve justice. Our civil and </w:t>
      </w:r>
      <w:r w:rsidRPr="003D6E7F">
        <w:rPr>
          <w:rFonts w:ascii="Garamond" w:hAnsi="Garamond" w:cs="AppleSystemUIFont"/>
          <w:sz w:val="26"/>
          <w:szCs w:val="26"/>
        </w:rPr>
        <w:t>constitutional rights are more than a promise, a pledge, or an oath—we must enforce these rights equally. Being heard is only the first step to action as we continue to strive to build a fairer, more equal and accessible justice system for all.”</w:t>
      </w:r>
    </w:p>
    <w:p w14:paraId="331BDFBE" w14:textId="7B046E35" w:rsidR="008F791F" w:rsidRDefault="008F791F" w:rsidP="008F791F">
      <w:pPr>
        <w:rPr>
          <w:rFonts w:ascii="Garamond" w:hAnsi="Garamond" w:cs="AppleSystemUIFont"/>
          <w:sz w:val="26"/>
          <w:szCs w:val="26"/>
        </w:rPr>
      </w:pPr>
      <w:r w:rsidRPr="003D6E7F">
        <w:rPr>
          <w:rFonts w:ascii="Garamond" w:hAnsi="Garamond" w:cs="AppleSystemUIFont"/>
          <w:sz w:val="26"/>
          <w:szCs w:val="26"/>
        </w:rPr>
        <w:t xml:space="preserve">&lt;https://newsroom.courts.ca.gov/news/california-chief-justice-speaks-out-addressing-racism-and-bias&gt; </w:t>
      </w:r>
    </w:p>
    <w:p w14:paraId="4E8D777A" w14:textId="49755720" w:rsidR="0042608E" w:rsidRDefault="0042608E" w:rsidP="0042608E">
      <w:pPr>
        <w:rPr>
          <w:rFonts w:ascii="Garamond" w:hAnsi="Garamond" w:cs="AppleSystemUIFont"/>
          <w:sz w:val="26"/>
          <w:szCs w:val="26"/>
        </w:rPr>
      </w:pPr>
      <w:r>
        <w:rPr>
          <w:rFonts w:ascii="Garamond" w:hAnsi="Garamond" w:cs="AppleSystemUIFont"/>
          <w:sz w:val="26"/>
          <w:szCs w:val="26"/>
        </w:rPr>
        <w:t>A significant area of potential when it comes to incorporating social science data into your arguments are issues of racial bias and racial injustice. One of our jobs as advocates is to give voice to those who would otherwise be silent – to ensure that all of us have the opportunity to be heard. It is, admittedly, hard to conceive of all the ways we might use social science data to spotlight racial issues in our cases</w:t>
      </w:r>
      <w:r w:rsidR="00F95E4E">
        <w:rPr>
          <w:rFonts w:ascii="Garamond" w:hAnsi="Garamond" w:cs="AppleSystemUIFont"/>
          <w:sz w:val="26"/>
          <w:szCs w:val="26"/>
        </w:rPr>
        <w:t xml:space="preserve"> including the prejudicial impact of that bias whether it is directly expressed or implicit.</w:t>
      </w:r>
      <w:r>
        <w:rPr>
          <w:rFonts w:ascii="Garamond" w:hAnsi="Garamond" w:cs="AppleSystemUIFont"/>
          <w:sz w:val="26"/>
          <w:szCs w:val="26"/>
        </w:rPr>
        <w:t xml:space="preserve"> </w:t>
      </w:r>
      <w:r w:rsidR="00F95E4E">
        <w:rPr>
          <w:rFonts w:ascii="Garamond" w:hAnsi="Garamond" w:cs="AppleSystemUIFont"/>
          <w:sz w:val="26"/>
          <w:szCs w:val="26"/>
        </w:rPr>
        <w:t xml:space="preserve">Accordingly, </w:t>
      </w:r>
      <w:proofErr w:type="spellStart"/>
      <w:r w:rsidR="00F95E4E">
        <w:rPr>
          <w:rFonts w:ascii="Garamond" w:hAnsi="Garamond" w:cs="AppleSystemUIFont"/>
          <w:sz w:val="26"/>
          <w:szCs w:val="26"/>
        </w:rPr>
        <w:t>waht</w:t>
      </w:r>
      <w:proofErr w:type="spellEnd"/>
      <w:r>
        <w:rPr>
          <w:rFonts w:ascii="Garamond" w:hAnsi="Garamond" w:cs="AppleSystemUIFont"/>
          <w:sz w:val="26"/>
          <w:szCs w:val="26"/>
        </w:rPr>
        <w:t xml:space="preserve"> follows are just some areas to consider from my initial foray into the research</w:t>
      </w:r>
      <w:r w:rsidR="00F95E4E">
        <w:rPr>
          <w:rFonts w:ascii="Garamond" w:hAnsi="Garamond" w:cs="AppleSystemUIFont"/>
          <w:sz w:val="26"/>
          <w:szCs w:val="26"/>
        </w:rPr>
        <w:t xml:space="preserve"> and law</w:t>
      </w:r>
      <w:r>
        <w:rPr>
          <w:rFonts w:ascii="Garamond" w:hAnsi="Garamond" w:cs="AppleSystemUIFont"/>
          <w:sz w:val="26"/>
          <w:szCs w:val="26"/>
        </w:rPr>
        <w:t xml:space="preserve">. </w:t>
      </w:r>
    </w:p>
    <w:p w14:paraId="4F633B43" w14:textId="05172F62" w:rsidR="008F791F" w:rsidRPr="0042608E" w:rsidRDefault="00452D39" w:rsidP="0042608E">
      <w:pPr>
        <w:rPr>
          <w:rFonts w:ascii="Garamond" w:hAnsi="Garamond" w:cs="AppleSystemUIFont"/>
          <w:sz w:val="26"/>
          <w:szCs w:val="26"/>
        </w:rPr>
      </w:pPr>
      <w:r>
        <w:rPr>
          <w:rFonts w:ascii="Garamond" w:hAnsi="Garamond" w:cs="AppleSystemUIFont"/>
          <w:b/>
          <w:bCs/>
          <w:sz w:val="26"/>
          <w:szCs w:val="26"/>
        </w:rPr>
        <w:t>A</w:t>
      </w:r>
      <w:r w:rsidR="00AD18AA">
        <w:rPr>
          <w:rFonts w:ascii="Garamond" w:hAnsi="Garamond" w:cs="AppleSystemUIFont"/>
          <w:b/>
          <w:bCs/>
          <w:sz w:val="26"/>
          <w:szCs w:val="26"/>
        </w:rPr>
        <w:t>.</w:t>
      </w:r>
      <w:r w:rsidR="00AD18AA">
        <w:rPr>
          <w:rFonts w:ascii="Garamond" w:hAnsi="Garamond" w:cs="AppleSystemUIFont"/>
          <w:b/>
          <w:bCs/>
          <w:sz w:val="26"/>
          <w:szCs w:val="26"/>
        </w:rPr>
        <w:tab/>
      </w:r>
      <w:r w:rsidR="008F791F" w:rsidRPr="00950741">
        <w:rPr>
          <w:rFonts w:ascii="Garamond" w:hAnsi="Garamond" w:cs="AppleSystemUIFont"/>
          <w:b/>
          <w:bCs/>
          <w:sz w:val="26"/>
          <w:szCs w:val="26"/>
        </w:rPr>
        <w:t>Assembly Bill No. 2542: The Racial Justice Act of 2020</w:t>
      </w:r>
    </w:p>
    <w:p w14:paraId="2CE55EDF" w14:textId="77777777" w:rsidR="008F791F" w:rsidRPr="003D6E7F" w:rsidRDefault="008F791F" w:rsidP="00144DF5">
      <w:pPr>
        <w:rPr>
          <w:rFonts w:ascii="Garamond" w:hAnsi="Garamond" w:cs="AppleSystemUIFont"/>
          <w:sz w:val="26"/>
          <w:szCs w:val="26"/>
        </w:rPr>
      </w:pPr>
      <w:r w:rsidRPr="003D6E7F">
        <w:rPr>
          <w:rFonts w:ascii="Garamond" w:hAnsi="Garamond" w:cs="AppleSystemUIFont"/>
          <w:sz w:val="26"/>
          <w:szCs w:val="26"/>
        </w:rPr>
        <w:t xml:space="preserve">Applicable to cases in which judgment was entered since January 1, 2021, this law prohibits the state from seeking a criminal conviction or sentence on the basis of race, ethnicity, or national origin. It allows habeas petitions to be prosecuted on the basis of that prohibition, </w:t>
      </w:r>
      <w:r w:rsidRPr="003D6E7F">
        <w:rPr>
          <w:rFonts w:ascii="Garamond" w:hAnsi="Garamond" w:cs="AppleSystemUIFont"/>
          <w:sz w:val="26"/>
          <w:szCs w:val="26"/>
        </w:rPr>
        <w:lastRenderedPageBreak/>
        <w:t>authorizes a court that finds a violation of that prohibition to impose a remedy, and applies to adult and delinquency proceedings.</w:t>
      </w:r>
    </w:p>
    <w:p w14:paraId="76754934" w14:textId="77777777" w:rsidR="008F791F" w:rsidRPr="003D6E7F" w:rsidRDefault="008F791F" w:rsidP="00144DF5">
      <w:pPr>
        <w:rPr>
          <w:rFonts w:ascii="Garamond" w:hAnsi="Garamond" w:cs="AppleSystemUIFont"/>
          <w:sz w:val="26"/>
          <w:szCs w:val="26"/>
        </w:rPr>
      </w:pPr>
      <w:r w:rsidRPr="003D6E7F">
        <w:rPr>
          <w:rFonts w:ascii="Garamond" w:hAnsi="Garamond" w:cs="AppleSystemUIFont"/>
          <w:sz w:val="26"/>
          <w:szCs w:val="26"/>
        </w:rPr>
        <w:t xml:space="preserve">One way to perhaps heed our Chief Justice’s call is to include more social science data on the impact of race in our criminal justice system, including arguments to allege violation of the Racial Justice Act. </w:t>
      </w:r>
    </w:p>
    <w:p w14:paraId="0C8658F0" w14:textId="5ECAA7FA" w:rsidR="008F791F" w:rsidRDefault="00A557D3" w:rsidP="00144DF5">
      <w:pPr>
        <w:rPr>
          <w:rFonts w:ascii="Garamond" w:eastAsia="Times New Roman" w:hAnsi="Garamond" w:cs="Times New Roman"/>
          <w:sz w:val="26"/>
          <w:szCs w:val="26"/>
        </w:rPr>
      </w:pPr>
      <w:r>
        <w:rPr>
          <w:rFonts w:ascii="Garamond" w:hAnsi="Garamond" w:cs="AppleSystemUIFont"/>
          <w:sz w:val="26"/>
          <w:szCs w:val="26"/>
        </w:rPr>
        <w:t>It is</w:t>
      </w:r>
      <w:r w:rsidR="008F791F" w:rsidRPr="003D6E7F">
        <w:rPr>
          <w:rFonts w:ascii="Garamond" w:hAnsi="Garamond" w:cs="AppleSystemUIFont"/>
          <w:sz w:val="26"/>
          <w:szCs w:val="26"/>
        </w:rPr>
        <w:t xml:space="preserve"> hopefully not going out on a limb </w:t>
      </w:r>
      <w:r w:rsidR="008F791F" w:rsidRPr="00970D4C">
        <w:rPr>
          <w:rFonts w:ascii="Garamond" w:hAnsi="Garamond" w:cs="AppleSystemUIFont"/>
          <w:sz w:val="26"/>
          <w:szCs w:val="26"/>
        </w:rPr>
        <w:t>to suggest that racial bias in the judicial system exists. I</w:t>
      </w:r>
      <w:r>
        <w:rPr>
          <w:rFonts w:ascii="Garamond" w:hAnsi="Garamond" w:cs="AppleSystemUIFont"/>
          <w:sz w:val="26"/>
          <w:szCs w:val="26"/>
        </w:rPr>
        <w:t>n our research, we</w:t>
      </w:r>
      <w:r w:rsidR="008F791F" w:rsidRPr="00970D4C">
        <w:rPr>
          <w:rFonts w:ascii="Garamond" w:hAnsi="Garamond" w:cs="AppleSystemUIFont"/>
          <w:sz w:val="26"/>
          <w:szCs w:val="26"/>
        </w:rPr>
        <w:t xml:space="preserve"> came upon Andrew E. Taslitz’s 2006 “informal essay” entitled “</w:t>
      </w:r>
      <w:r w:rsidR="008F791F" w:rsidRPr="00970D4C">
        <w:rPr>
          <w:rFonts w:ascii="Garamond" w:eastAsia="Times New Roman" w:hAnsi="Garamond" w:cs="Times New Roman"/>
          <w:sz w:val="26"/>
          <w:szCs w:val="26"/>
        </w:rPr>
        <w:t>Wrongly Accused: Is Race a Factor in Convicting the Innocent?”</w:t>
      </w:r>
      <w:r w:rsidR="008F791F" w:rsidRPr="00970D4C">
        <w:rPr>
          <w:rStyle w:val="FootnoteReference"/>
          <w:rFonts w:ascii="Garamond" w:eastAsia="Times New Roman" w:hAnsi="Garamond" w:cs="Times New Roman"/>
          <w:sz w:val="26"/>
          <w:szCs w:val="26"/>
        </w:rPr>
        <w:footnoteReference w:id="37"/>
      </w:r>
      <w:r w:rsidR="008F791F" w:rsidRPr="00970D4C">
        <w:rPr>
          <w:rFonts w:ascii="Garamond" w:eastAsia="Times New Roman" w:hAnsi="Garamond" w:cs="Times New Roman"/>
          <w:sz w:val="26"/>
          <w:szCs w:val="26"/>
        </w:rPr>
        <w:t xml:space="preserve">  In it, Taslitz </w:t>
      </w:r>
      <w:r w:rsidR="008F791F">
        <w:rPr>
          <w:rFonts w:ascii="Garamond" w:eastAsia="Times New Roman" w:hAnsi="Garamond" w:cs="Times New Roman"/>
          <w:sz w:val="26"/>
          <w:szCs w:val="26"/>
        </w:rPr>
        <w:t>argues the following points supported by research:</w:t>
      </w:r>
    </w:p>
    <w:p w14:paraId="190EAB35" w14:textId="77777777" w:rsidR="008F791F" w:rsidRPr="003C34A9" w:rsidRDefault="008F791F" w:rsidP="008F791F">
      <w:pPr>
        <w:pStyle w:val="ListParagraph"/>
        <w:numPr>
          <w:ilvl w:val="0"/>
          <w:numId w:val="6"/>
        </w:numPr>
        <w:rPr>
          <w:rFonts w:ascii="Garamond" w:eastAsia="Times New Roman" w:hAnsi="Garamond" w:cs="Times New Roman"/>
          <w:sz w:val="26"/>
          <w:szCs w:val="26"/>
        </w:rPr>
      </w:pPr>
      <w:r w:rsidRPr="003C34A9">
        <w:rPr>
          <w:rFonts w:ascii="Garamond" w:hAnsi="Garamond" w:cs="AppleSystemUIFont"/>
          <w:sz w:val="26"/>
          <w:szCs w:val="26"/>
        </w:rPr>
        <w:t xml:space="preserve">subconscious racial biases lead </w:t>
      </w:r>
      <w:r w:rsidR="008B3619" w:rsidRPr="003C34A9">
        <w:rPr>
          <w:rFonts w:ascii="Garamond" w:hAnsi="Garamond" w:cs="AppleSystemUIFont"/>
          <w:sz w:val="26"/>
          <w:szCs w:val="26"/>
        </w:rPr>
        <w:t>decision makers</w:t>
      </w:r>
      <w:r w:rsidRPr="003C34A9">
        <w:rPr>
          <w:rFonts w:ascii="Garamond" w:hAnsi="Garamond" w:cs="AppleSystemUIFont"/>
          <w:sz w:val="26"/>
          <w:szCs w:val="26"/>
        </w:rPr>
        <w:t xml:space="preserve"> at various key points in the processing of a criminal case to view racial minorities, especially African-Americans, as more dangerous and less credible than whites</w:t>
      </w:r>
      <w:r>
        <w:rPr>
          <w:rFonts w:ascii="Garamond" w:hAnsi="Garamond" w:cs="AppleSystemUIFont"/>
          <w:sz w:val="26"/>
          <w:szCs w:val="26"/>
        </w:rPr>
        <w:t>;</w:t>
      </w:r>
    </w:p>
    <w:p w14:paraId="62CAD6AF" w14:textId="77777777" w:rsidR="008F791F" w:rsidRPr="003C34A9" w:rsidRDefault="008F791F" w:rsidP="008F791F">
      <w:pPr>
        <w:pStyle w:val="ListParagraph"/>
        <w:numPr>
          <w:ilvl w:val="0"/>
          <w:numId w:val="6"/>
        </w:numPr>
        <w:rPr>
          <w:rFonts w:ascii="Garamond" w:eastAsia="Times New Roman" w:hAnsi="Garamond" w:cs="Times New Roman"/>
          <w:sz w:val="26"/>
          <w:szCs w:val="26"/>
        </w:rPr>
      </w:pPr>
      <w:r w:rsidRPr="003C34A9">
        <w:rPr>
          <w:rFonts w:ascii="Garamond" w:hAnsi="Garamond" w:cs="AppleSystemUIFont"/>
          <w:sz w:val="26"/>
          <w:szCs w:val="26"/>
        </w:rPr>
        <w:t>Police use more intense - and riskier - investigative techniques when having contact with black suspects</w:t>
      </w:r>
      <w:r>
        <w:rPr>
          <w:rFonts w:ascii="Garamond" w:hAnsi="Garamond" w:cs="AppleSystemUIFont"/>
          <w:sz w:val="26"/>
          <w:szCs w:val="26"/>
        </w:rPr>
        <w:t>;</w:t>
      </w:r>
    </w:p>
    <w:p w14:paraId="1A9AEDE3" w14:textId="77777777" w:rsidR="008F791F" w:rsidRPr="003C34A9" w:rsidRDefault="008F791F" w:rsidP="008F791F">
      <w:pPr>
        <w:pStyle w:val="ListParagraph"/>
        <w:numPr>
          <w:ilvl w:val="0"/>
          <w:numId w:val="6"/>
        </w:numPr>
        <w:rPr>
          <w:rFonts w:ascii="Garamond" w:eastAsia="Times New Roman" w:hAnsi="Garamond" w:cs="Times New Roman"/>
          <w:sz w:val="26"/>
          <w:szCs w:val="26"/>
        </w:rPr>
      </w:pPr>
      <w:r>
        <w:rPr>
          <w:rFonts w:ascii="Garamond" w:hAnsi="Garamond" w:cs="AppleSystemUIFont"/>
          <w:sz w:val="26"/>
          <w:szCs w:val="26"/>
        </w:rPr>
        <w:t>Those non-white</w:t>
      </w:r>
      <w:r w:rsidRPr="003C34A9">
        <w:rPr>
          <w:rFonts w:ascii="Garamond" w:hAnsi="Garamond" w:cs="AppleSystemUIFont"/>
          <w:sz w:val="26"/>
          <w:szCs w:val="26"/>
        </w:rPr>
        <w:t xml:space="preserve"> suspects are more likely than white </w:t>
      </w:r>
      <w:r>
        <w:rPr>
          <w:rFonts w:ascii="Garamond" w:hAnsi="Garamond" w:cs="AppleSystemUIFont"/>
          <w:sz w:val="26"/>
          <w:szCs w:val="26"/>
        </w:rPr>
        <w:t>suspects</w:t>
      </w:r>
      <w:r w:rsidRPr="003C34A9">
        <w:rPr>
          <w:rFonts w:ascii="Garamond" w:hAnsi="Garamond" w:cs="AppleSystemUIFont"/>
          <w:sz w:val="26"/>
          <w:szCs w:val="26"/>
        </w:rPr>
        <w:t xml:space="preserve"> to react to such pressure defensively</w:t>
      </w:r>
      <w:r>
        <w:rPr>
          <w:rFonts w:ascii="Garamond" w:hAnsi="Garamond" w:cs="AppleSystemUIFont"/>
          <w:sz w:val="26"/>
          <w:szCs w:val="26"/>
        </w:rPr>
        <w:t>;</w:t>
      </w:r>
    </w:p>
    <w:p w14:paraId="44A4F009" w14:textId="77777777" w:rsidR="008F791F" w:rsidRPr="003C34A9" w:rsidRDefault="008F791F" w:rsidP="008F791F">
      <w:pPr>
        <w:pStyle w:val="ListParagraph"/>
        <w:numPr>
          <w:ilvl w:val="0"/>
          <w:numId w:val="6"/>
        </w:numPr>
        <w:rPr>
          <w:rFonts w:ascii="Garamond" w:eastAsia="Times New Roman" w:hAnsi="Garamond" w:cs="Times New Roman"/>
          <w:sz w:val="26"/>
          <w:szCs w:val="26"/>
        </w:rPr>
      </w:pPr>
      <w:r>
        <w:rPr>
          <w:rFonts w:ascii="Garamond" w:hAnsi="Garamond" w:cs="AppleSystemUIFont"/>
          <w:sz w:val="26"/>
          <w:szCs w:val="26"/>
        </w:rPr>
        <w:t xml:space="preserve">The defensive </w:t>
      </w:r>
      <w:r w:rsidRPr="003C34A9">
        <w:rPr>
          <w:rFonts w:ascii="Garamond" w:hAnsi="Garamond" w:cs="AppleSystemUIFont"/>
          <w:sz w:val="26"/>
          <w:szCs w:val="26"/>
        </w:rPr>
        <w:t>reaction leads the officers to be still more suspicious of their subject, leading them in turn to still more aggressive policing tactics</w:t>
      </w:r>
      <w:r>
        <w:rPr>
          <w:rFonts w:ascii="Garamond" w:hAnsi="Garamond" w:cs="AppleSystemUIFont"/>
          <w:sz w:val="26"/>
          <w:szCs w:val="26"/>
        </w:rPr>
        <w:t>;</w:t>
      </w:r>
    </w:p>
    <w:p w14:paraId="0699698E" w14:textId="77777777" w:rsidR="008F791F" w:rsidRPr="003C34A9" w:rsidRDefault="008F791F" w:rsidP="008F791F">
      <w:pPr>
        <w:pStyle w:val="ListParagraph"/>
        <w:numPr>
          <w:ilvl w:val="0"/>
          <w:numId w:val="6"/>
        </w:numPr>
        <w:rPr>
          <w:rFonts w:ascii="Garamond" w:eastAsia="Times New Roman" w:hAnsi="Garamond" w:cs="Times New Roman"/>
          <w:sz w:val="26"/>
          <w:szCs w:val="26"/>
        </w:rPr>
      </w:pPr>
      <w:r w:rsidRPr="003C34A9">
        <w:rPr>
          <w:rFonts w:ascii="Garamond" w:hAnsi="Garamond" w:cs="AppleSystemUIFont"/>
          <w:sz w:val="26"/>
          <w:szCs w:val="26"/>
        </w:rPr>
        <w:t>This escalating cycle of aggression continues until a mistaken eyewitness identification, false confession, or similar source of error results</w:t>
      </w:r>
      <w:r>
        <w:rPr>
          <w:rFonts w:ascii="Garamond" w:hAnsi="Garamond" w:cs="AppleSystemUIFont"/>
          <w:sz w:val="26"/>
          <w:szCs w:val="26"/>
        </w:rPr>
        <w:t>;</w:t>
      </w:r>
      <w:r w:rsidRPr="003C34A9">
        <w:rPr>
          <w:rFonts w:ascii="Garamond" w:hAnsi="Garamond" w:cs="AppleSystemUIFont"/>
          <w:sz w:val="26"/>
          <w:szCs w:val="26"/>
        </w:rPr>
        <w:t xml:space="preserve"> </w:t>
      </w:r>
    </w:p>
    <w:p w14:paraId="46732FB9" w14:textId="77777777" w:rsidR="008F791F" w:rsidRPr="003C34A9" w:rsidRDefault="008F791F" w:rsidP="008F791F">
      <w:pPr>
        <w:pStyle w:val="ListParagraph"/>
        <w:numPr>
          <w:ilvl w:val="0"/>
          <w:numId w:val="6"/>
        </w:numPr>
        <w:rPr>
          <w:rFonts w:ascii="Garamond" w:eastAsia="Times New Roman" w:hAnsi="Garamond" w:cs="Times New Roman"/>
          <w:sz w:val="26"/>
          <w:szCs w:val="26"/>
        </w:rPr>
      </w:pPr>
      <w:r w:rsidRPr="003C34A9">
        <w:rPr>
          <w:rFonts w:ascii="Garamond" w:hAnsi="Garamond" w:cs="AppleSystemUIFont"/>
          <w:sz w:val="26"/>
          <w:szCs w:val="26"/>
        </w:rPr>
        <w:t>Fact-finders, in turn, are more likely to conclude that such flawed evidence is in fact credible</w:t>
      </w:r>
      <w:r>
        <w:rPr>
          <w:rFonts w:ascii="Garamond" w:hAnsi="Garamond" w:cs="AppleSystemUIFont"/>
          <w:sz w:val="26"/>
          <w:szCs w:val="26"/>
        </w:rPr>
        <w:t>;</w:t>
      </w:r>
    </w:p>
    <w:p w14:paraId="4BFA9C74" w14:textId="77777777" w:rsidR="008F791F" w:rsidRPr="003C34A9" w:rsidRDefault="008F791F" w:rsidP="008F791F">
      <w:pPr>
        <w:pStyle w:val="ListParagraph"/>
        <w:numPr>
          <w:ilvl w:val="0"/>
          <w:numId w:val="6"/>
        </w:numPr>
        <w:rPr>
          <w:rFonts w:ascii="Garamond" w:eastAsia="Times New Roman" w:hAnsi="Garamond" w:cs="Times New Roman"/>
          <w:sz w:val="26"/>
          <w:szCs w:val="26"/>
        </w:rPr>
      </w:pPr>
      <w:r>
        <w:rPr>
          <w:rFonts w:ascii="Garamond" w:hAnsi="Garamond" w:cs="AppleSystemUIFont"/>
          <w:sz w:val="26"/>
          <w:szCs w:val="26"/>
        </w:rPr>
        <w:t>“</w:t>
      </w:r>
      <w:r w:rsidRPr="003C34A9">
        <w:rPr>
          <w:rFonts w:ascii="Garamond" w:hAnsi="Garamond" w:cs="AppleSystemUIFont"/>
          <w:sz w:val="26"/>
          <w:szCs w:val="26"/>
        </w:rPr>
        <w:t>racial features trigger an unconscious process of stereotyping and selective inattention, a process rooted in racial stigma and a corresponding presumption of black criminality. This presumption is not simply that a black suspect committed a particular crime, but rather that black character is paradigmatically criminal and deceptive.</w:t>
      </w:r>
      <w:r>
        <w:rPr>
          <w:rFonts w:ascii="Garamond" w:hAnsi="Garamond" w:cs="AppleSystemUIFont"/>
          <w:sz w:val="26"/>
          <w:szCs w:val="26"/>
        </w:rPr>
        <w:t xml:space="preserve">” </w:t>
      </w:r>
    </w:p>
    <w:p w14:paraId="6850FC95" w14:textId="77777777" w:rsidR="008F791F" w:rsidRPr="00144DF5" w:rsidRDefault="008F791F" w:rsidP="008F791F">
      <w:pPr>
        <w:rPr>
          <w:rFonts w:ascii="Garamond" w:eastAsia="Times New Roman" w:hAnsi="Garamond" w:cs="Times New Roman"/>
          <w:sz w:val="26"/>
          <w:szCs w:val="26"/>
        </w:rPr>
      </w:pPr>
      <w:r>
        <w:rPr>
          <w:rFonts w:ascii="Garamond" w:eastAsia="Times New Roman" w:hAnsi="Garamond" w:cs="Times New Roman"/>
          <w:sz w:val="26"/>
          <w:szCs w:val="26"/>
        </w:rPr>
        <w:t xml:space="preserve">(Taslitz, </w:t>
      </w:r>
      <w:r w:rsidRPr="008F791F">
        <w:rPr>
          <w:rFonts w:ascii="Garamond" w:eastAsia="Times New Roman" w:hAnsi="Garamond" w:cs="Times New Roman"/>
          <w:i/>
          <w:sz w:val="26"/>
          <w:szCs w:val="26"/>
        </w:rPr>
        <w:t>supra</w:t>
      </w:r>
      <w:r>
        <w:rPr>
          <w:rFonts w:ascii="Garamond" w:eastAsia="Times New Roman" w:hAnsi="Garamond" w:cs="Times New Roman"/>
          <w:sz w:val="26"/>
          <w:szCs w:val="26"/>
        </w:rPr>
        <w:t>, at pp. 121-133.)</w:t>
      </w:r>
    </w:p>
    <w:p w14:paraId="05F6D64B" w14:textId="77777777" w:rsidR="008F791F" w:rsidRDefault="008F791F" w:rsidP="00144DF5">
      <w:pPr>
        <w:rPr>
          <w:rFonts w:ascii="Garamond" w:hAnsi="Garamond" w:cs="AppleSystemUIFont"/>
          <w:sz w:val="26"/>
          <w:szCs w:val="26"/>
        </w:rPr>
      </w:pPr>
      <w:r>
        <w:rPr>
          <w:rFonts w:ascii="Garamond" w:hAnsi="Garamond" w:cs="AppleSystemUIFont"/>
          <w:sz w:val="26"/>
          <w:szCs w:val="26"/>
        </w:rPr>
        <w:t>Possible uses for the science:</w:t>
      </w:r>
    </w:p>
    <w:p w14:paraId="6987BFE1" w14:textId="77777777" w:rsidR="008F791F" w:rsidRDefault="008F791F" w:rsidP="00144DF5">
      <w:pPr>
        <w:pStyle w:val="ListParagraph"/>
        <w:numPr>
          <w:ilvl w:val="0"/>
          <w:numId w:val="7"/>
        </w:numPr>
        <w:rPr>
          <w:rFonts w:ascii="Garamond" w:hAnsi="Garamond" w:cs="AppleSystemUIFont"/>
          <w:sz w:val="26"/>
          <w:szCs w:val="26"/>
        </w:rPr>
      </w:pPr>
      <w:r>
        <w:rPr>
          <w:rFonts w:ascii="Garamond" w:hAnsi="Garamond" w:cs="AppleSystemUIFont"/>
          <w:sz w:val="26"/>
          <w:szCs w:val="26"/>
        </w:rPr>
        <w:t>Fourth amendment search or seizure issues;</w:t>
      </w:r>
    </w:p>
    <w:p w14:paraId="17D90344" w14:textId="77777777" w:rsidR="008F791F" w:rsidRDefault="008F791F" w:rsidP="00144DF5">
      <w:pPr>
        <w:pStyle w:val="ListParagraph"/>
        <w:numPr>
          <w:ilvl w:val="0"/>
          <w:numId w:val="7"/>
        </w:numPr>
        <w:rPr>
          <w:rFonts w:ascii="Garamond" w:hAnsi="Garamond" w:cs="AppleSystemUIFont"/>
          <w:sz w:val="26"/>
          <w:szCs w:val="26"/>
        </w:rPr>
      </w:pPr>
      <w:r>
        <w:rPr>
          <w:rFonts w:ascii="Garamond" w:hAnsi="Garamond" w:cs="AppleSystemUIFont"/>
          <w:sz w:val="26"/>
          <w:szCs w:val="26"/>
        </w:rPr>
        <w:t xml:space="preserve">Prejudice arguments: Eyewitness testimony; false confessions; </w:t>
      </w:r>
      <w:r w:rsidRPr="00A66803">
        <w:rPr>
          <w:rFonts w:ascii="Garamond" w:hAnsi="Garamond" w:cs="AppleSystemUIFont"/>
          <w:i/>
          <w:sz w:val="26"/>
          <w:szCs w:val="26"/>
        </w:rPr>
        <w:t>Miranda</w:t>
      </w:r>
      <w:r>
        <w:rPr>
          <w:rFonts w:ascii="Garamond" w:hAnsi="Garamond" w:cs="AppleSystemUIFont"/>
          <w:sz w:val="26"/>
          <w:szCs w:val="26"/>
        </w:rPr>
        <w:t xml:space="preserve"> warnings, etc.</w:t>
      </w:r>
    </w:p>
    <w:p w14:paraId="7B5F0A16" w14:textId="4846F00A" w:rsidR="008F791F" w:rsidRDefault="00E26098" w:rsidP="00144DF5">
      <w:pPr>
        <w:rPr>
          <w:rFonts w:ascii="Garamond" w:hAnsi="Garamond" w:cs="AppleSystemUIFont"/>
          <w:sz w:val="26"/>
          <w:szCs w:val="26"/>
        </w:rPr>
      </w:pPr>
      <w:r>
        <w:rPr>
          <w:rFonts w:ascii="Garamond" w:hAnsi="Garamond" w:cs="AppleSystemUIFont"/>
          <w:bCs/>
          <w:sz w:val="26"/>
          <w:szCs w:val="26"/>
        </w:rPr>
        <w:lastRenderedPageBreak/>
        <w:t>On prejudice,</w:t>
      </w:r>
      <w:r w:rsidR="00A557D3">
        <w:rPr>
          <w:rFonts w:ascii="Garamond" w:hAnsi="Garamond" w:cs="AppleSystemUIFont"/>
          <w:sz w:val="26"/>
          <w:szCs w:val="26"/>
        </w:rPr>
        <w:t xml:space="preserve"> it is highly</w:t>
      </w:r>
      <w:r w:rsidR="008F791F">
        <w:rPr>
          <w:rFonts w:ascii="Garamond" w:hAnsi="Garamond" w:cs="AppleSystemUIFont"/>
          <w:sz w:val="26"/>
          <w:szCs w:val="26"/>
        </w:rPr>
        <w:t xml:space="preserve"> recommend</w:t>
      </w:r>
      <w:r w:rsidR="00A557D3">
        <w:rPr>
          <w:rFonts w:ascii="Garamond" w:hAnsi="Garamond" w:cs="AppleSystemUIFont"/>
          <w:sz w:val="26"/>
          <w:szCs w:val="26"/>
        </w:rPr>
        <w:t>ed</w:t>
      </w:r>
      <w:r w:rsidR="008F791F">
        <w:rPr>
          <w:rFonts w:ascii="Garamond" w:hAnsi="Garamond" w:cs="AppleSystemUIFont"/>
          <w:sz w:val="26"/>
          <w:szCs w:val="26"/>
        </w:rPr>
        <w:t xml:space="preserve"> </w:t>
      </w:r>
      <w:r w:rsidR="00A557D3">
        <w:rPr>
          <w:rFonts w:ascii="Garamond" w:hAnsi="Garamond" w:cs="AppleSystemUIFont"/>
          <w:sz w:val="26"/>
          <w:szCs w:val="26"/>
        </w:rPr>
        <w:t xml:space="preserve">that </w:t>
      </w:r>
      <w:r w:rsidR="008F791F">
        <w:rPr>
          <w:rFonts w:ascii="Garamond" w:hAnsi="Garamond" w:cs="AppleSystemUIFont"/>
          <w:sz w:val="26"/>
          <w:szCs w:val="26"/>
        </w:rPr>
        <w:t xml:space="preserve">you review </w:t>
      </w:r>
      <w:r w:rsidR="00F95E4E">
        <w:rPr>
          <w:rFonts w:ascii="Garamond" w:hAnsi="Garamond" w:cs="AppleSystemUIFont"/>
          <w:sz w:val="26"/>
          <w:szCs w:val="26"/>
        </w:rPr>
        <w:t>and reference t</w:t>
      </w:r>
      <w:r w:rsidR="008F791F">
        <w:rPr>
          <w:rFonts w:ascii="Garamond" w:hAnsi="Garamond" w:cs="AppleSystemUIFont"/>
          <w:sz w:val="26"/>
          <w:szCs w:val="26"/>
        </w:rPr>
        <w:t xml:space="preserve">his article to </w:t>
      </w:r>
      <w:r w:rsidR="00F95E4E">
        <w:rPr>
          <w:rFonts w:ascii="Garamond" w:hAnsi="Garamond" w:cs="AppleSystemUIFont"/>
          <w:sz w:val="26"/>
          <w:szCs w:val="26"/>
        </w:rPr>
        <w:t>help</w:t>
      </w:r>
      <w:r w:rsidR="008F791F">
        <w:rPr>
          <w:rFonts w:ascii="Garamond" w:hAnsi="Garamond" w:cs="AppleSystemUIFont"/>
          <w:sz w:val="26"/>
          <w:szCs w:val="26"/>
        </w:rPr>
        <w:t xml:space="preserve"> persuade a reviewing court that the likelihood of a fair prosecution for a non-white defendant is demonstrably l</w:t>
      </w:r>
      <w:r w:rsidR="00A557D3">
        <w:rPr>
          <w:rFonts w:ascii="Garamond" w:hAnsi="Garamond" w:cs="AppleSystemUIFont"/>
          <w:sz w:val="26"/>
          <w:szCs w:val="26"/>
        </w:rPr>
        <w:t>ower than for a white defendant --</w:t>
      </w:r>
      <w:r w:rsidR="00F95E4E">
        <w:rPr>
          <w:rFonts w:ascii="Garamond" w:hAnsi="Garamond" w:cs="AppleSystemUIFont"/>
          <w:sz w:val="26"/>
          <w:szCs w:val="26"/>
        </w:rPr>
        <w:t xml:space="preserve"> because of pervasive implicit bias. </w:t>
      </w:r>
      <w:r w:rsidR="008F791F">
        <w:rPr>
          <w:rFonts w:ascii="Garamond" w:hAnsi="Garamond" w:cs="AppleSystemUIFont"/>
          <w:sz w:val="26"/>
          <w:szCs w:val="26"/>
        </w:rPr>
        <w:t>I would argue that this inherently unfair process is the lens through which any prejudice discussion must be viewed. In other words, even if the trial court and counsel did everything according to the law, the defendant was still at a fundamental disadvantage based on the color of their skin.</w:t>
      </w:r>
      <w:r w:rsidR="00F95E4E">
        <w:rPr>
          <w:rFonts w:ascii="Garamond" w:hAnsi="Garamond" w:cs="AppleSystemUIFont"/>
          <w:sz w:val="26"/>
          <w:szCs w:val="26"/>
        </w:rPr>
        <w:t xml:space="preserve"> </w:t>
      </w:r>
      <w:r w:rsidR="008F791F">
        <w:rPr>
          <w:rFonts w:ascii="Garamond" w:hAnsi="Garamond" w:cs="AppleSystemUIFont"/>
          <w:sz w:val="26"/>
          <w:szCs w:val="26"/>
        </w:rPr>
        <w:t>If this is true for a case where no legal error occurred, when legal error is demonstrated, the prejudicial effect may be catastrophic.</w:t>
      </w:r>
      <w:r w:rsidR="008F791F">
        <w:rPr>
          <w:rStyle w:val="FootnoteReference"/>
          <w:rFonts w:ascii="Garamond" w:hAnsi="Garamond" w:cs="AppleSystemUIFont"/>
          <w:sz w:val="26"/>
          <w:szCs w:val="26"/>
        </w:rPr>
        <w:footnoteReference w:id="38"/>
      </w:r>
      <w:r w:rsidR="008F791F">
        <w:rPr>
          <w:rFonts w:ascii="Garamond" w:hAnsi="Garamond" w:cs="AppleSystemUIFont"/>
          <w:sz w:val="26"/>
          <w:szCs w:val="26"/>
        </w:rPr>
        <w:t xml:space="preserve"> </w:t>
      </w:r>
    </w:p>
    <w:p w14:paraId="58E70A4F" w14:textId="3279307E" w:rsidR="008F791F" w:rsidRDefault="00452D39" w:rsidP="00452D39">
      <w:pPr>
        <w:keepNext/>
        <w:keepLines/>
        <w:rPr>
          <w:rFonts w:ascii="Garamond" w:hAnsi="Garamond" w:cs="AppleSystemUIFont"/>
          <w:b/>
          <w:bCs/>
          <w:sz w:val="26"/>
          <w:szCs w:val="26"/>
        </w:rPr>
      </w:pPr>
      <w:r>
        <w:rPr>
          <w:rFonts w:ascii="Garamond" w:hAnsi="Garamond" w:cs="AppleSystemUIFont"/>
          <w:b/>
          <w:bCs/>
          <w:sz w:val="26"/>
          <w:szCs w:val="26"/>
        </w:rPr>
        <w:t>B</w:t>
      </w:r>
      <w:r w:rsidR="00AD18AA">
        <w:rPr>
          <w:rFonts w:ascii="Garamond" w:hAnsi="Garamond" w:cs="AppleSystemUIFont"/>
          <w:b/>
          <w:bCs/>
          <w:sz w:val="26"/>
          <w:szCs w:val="26"/>
        </w:rPr>
        <w:t>.</w:t>
      </w:r>
      <w:r w:rsidR="00AD18AA">
        <w:rPr>
          <w:rFonts w:ascii="Garamond" w:hAnsi="Garamond" w:cs="AppleSystemUIFont"/>
          <w:b/>
          <w:bCs/>
          <w:sz w:val="26"/>
          <w:szCs w:val="26"/>
        </w:rPr>
        <w:tab/>
      </w:r>
      <w:r w:rsidR="008F791F" w:rsidRPr="00970D4C">
        <w:rPr>
          <w:rFonts w:ascii="Garamond" w:hAnsi="Garamond" w:cs="AppleSystemUIFont"/>
          <w:b/>
          <w:bCs/>
          <w:sz w:val="26"/>
          <w:szCs w:val="26"/>
        </w:rPr>
        <w:t>Judicial Bias</w:t>
      </w:r>
    </w:p>
    <w:p w14:paraId="42660805" w14:textId="77777777" w:rsidR="00AD18AA" w:rsidRDefault="008F791F" w:rsidP="00AD18AA">
      <w:pPr>
        <w:keepNext/>
        <w:keepLines/>
        <w:rPr>
          <w:rFonts w:ascii="Garamond" w:hAnsi="Garamond" w:cs="AppleSystemUIFont"/>
          <w:sz w:val="26"/>
          <w:szCs w:val="26"/>
        </w:rPr>
      </w:pPr>
      <w:r>
        <w:rPr>
          <w:rFonts w:ascii="Garamond" w:hAnsi="Garamond" w:cs="AppleSystemUIFont"/>
          <w:sz w:val="26"/>
          <w:szCs w:val="26"/>
        </w:rPr>
        <w:t xml:space="preserve">Do you have an argument that the judge harbored implicit or express bias during the lower court proceedings? See </w:t>
      </w:r>
      <w:r w:rsidRPr="00F77F3A">
        <w:rPr>
          <w:rFonts w:ascii="Garamond" w:hAnsi="Garamond" w:cs="AppleSystemUIFont"/>
          <w:sz w:val="26"/>
          <w:szCs w:val="26"/>
        </w:rPr>
        <w:t xml:space="preserve">NOTE: </w:t>
      </w:r>
      <w:r w:rsidRPr="00970D4C">
        <w:rPr>
          <w:rFonts w:ascii="Garamond" w:hAnsi="Garamond" w:cs="AppleSystemUIFont"/>
          <w:i/>
          <w:iCs/>
          <w:sz w:val="26"/>
          <w:szCs w:val="26"/>
        </w:rPr>
        <w:t>The Appearance of Justice: Judges</w:t>
      </w:r>
      <w:r>
        <w:rPr>
          <w:rFonts w:ascii="Garamond" w:hAnsi="Garamond" w:cs="AppleSystemUIFont"/>
          <w:i/>
          <w:iCs/>
          <w:sz w:val="26"/>
          <w:szCs w:val="26"/>
        </w:rPr>
        <w:t>’</w:t>
      </w:r>
      <w:r w:rsidRPr="00970D4C">
        <w:rPr>
          <w:rFonts w:ascii="Garamond" w:hAnsi="Garamond" w:cs="AppleSystemUIFont"/>
          <w:i/>
          <w:iCs/>
          <w:sz w:val="26"/>
          <w:szCs w:val="26"/>
        </w:rPr>
        <w:t xml:space="preserve"> Verbal and Nonverbal Behavior in Criminal Jury Trials</w:t>
      </w:r>
      <w:r>
        <w:rPr>
          <w:rFonts w:ascii="Garamond" w:hAnsi="Garamond" w:cs="AppleSystemUIFont"/>
          <w:sz w:val="26"/>
          <w:szCs w:val="26"/>
        </w:rPr>
        <w:t xml:space="preserve"> (1985)</w:t>
      </w:r>
      <w:r w:rsidRPr="00F77F3A">
        <w:rPr>
          <w:rFonts w:ascii="Garamond" w:hAnsi="Garamond" w:cs="AppleSystemUIFont"/>
          <w:sz w:val="26"/>
          <w:szCs w:val="26"/>
        </w:rPr>
        <w:t xml:space="preserve"> 38 Stan. L. Rev. 89</w:t>
      </w:r>
      <w:r>
        <w:rPr>
          <w:rFonts w:ascii="Garamond" w:hAnsi="Garamond" w:cs="AppleSystemUIFont"/>
          <w:sz w:val="26"/>
          <w:szCs w:val="26"/>
        </w:rPr>
        <w:t xml:space="preserve"> [t</w:t>
      </w:r>
      <w:r w:rsidRPr="00F77F3A">
        <w:rPr>
          <w:rFonts w:ascii="Garamond" w:hAnsi="Garamond" w:cs="AppleSystemUIFont"/>
          <w:sz w:val="26"/>
          <w:szCs w:val="26"/>
        </w:rPr>
        <w:t>his note empirically investigates how trial judges</w:t>
      </w:r>
      <w:r>
        <w:rPr>
          <w:rFonts w:ascii="Garamond" w:hAnsi="Garamond" w:cs="AppleSystemUIFont"/>
          <w:sz w:val="26"/>
          <w:szCs w:val="26"/>
        </w:rPr>
        <w:t>’</w:t>
      </w:r>
      <w:r w:rsidRPr="00F77F3A">
        <w:rPr>
          <w:rFonts w:ascii="Garamond" w:hAnsi="Garamond" w:cs="AppleSystemUIFont"/>
          <w:sz w:val="26"/>
          <w:szCs w:val="26"/>
        </w:rPr>
        <w:t xml:space="preserve"> expectations for trial outcome might predict both (a) the judges</w:t>
      </w:r>
      <w:r>
        <w:rPr>
          <w:rFonts w:ascii="Garamond" w:hAnsi="Garamond" w:cs="AppleSystemUIFont"/>
          <w:sz w:val="26"/>
          <w:szCs w:val="26"/>
        </w:rPr>
        <w:t>’</w:t>
      </w:r>
      <w:r w:rsidRPr="00F77F3A">
        <w:rPr>
          <w:rFonts w:ascii="Garamond" w:hAnsi="Garamond" w:cs="AppleSystemUIFont"/>
          <w:sz w:val="26"/>
          <w:szCs w:val="26"/>
        </w:rPr>
        <w:t xml:space="preserve"> unintended verbal and nonverbal behavior, and (b) the verdicts returned by juries</w:t>
      </w:r>
      <w:r>
        <w:rPr>
          <w:rFonts w:ascii="Garamond" w:hAnsi="Garamond" w:cs="AppleSystemUIFont"/>
          <w:sz w:val="26"/>
          <w:szCs w:val="26"/>
        </w:rPr>
        <w:t xml:space="preserve"> raising the question of whether there was a fair and impartial trial]</w:t>
      </w:r>
      <w:r w:rsidRPr="00F77F3A">
        <w:rPr>
          <w:rFonts w:ascii="Garamond" w:hAnsi="Garamond" w:cs="AppleSystemUIFont"/>
          <w:sz w:val="26"/>
          <w:szCs w:val="26"/>
        </w:rPr>
        <w:t>.</w:t>
      </w:r>
      <w:r>
        <w:rPr>
          <w:rFonts w:ascii="Garamond" w:hAnsi="Garamond" w:cs="AppleSystemUIFont"/>
          <w:sz w:val="26"/>
          <w:szCs w:val="26"/>
        </w:rPr>
        <w:t>)</w:t>
      </w:r>
    </w:p>
    <w:p w14:paraId="71FCB592" w14:textId="59B9D2A4" w:rsidR="008F791F" w:rsidRDefault="00452D39" w:rsidP="00452D39">
      <w:pPr>
        <w:keepNext/>
        <w:keepLines/>
        <w:rPr>
          <w:rFonts w:ascii="Garamond" w:hAnsi="Garamond" w:cs="AppleSystemUIFont"/>
          <w:sz w:val="26"/>
          <w:szCs w:val="26"/>
        </w:rPr>
      </w:pPr>
      <w:r>
        <w:rPr>
          <w:rFonts w:ascii="Garamond" w:hAnsi="Garamond" w:cs="AppleSystemUIFont"/>
          <w:b/>
          <w:bCs/>
          <w:sz w:val="26"/>
          <w:szCs w:val="26"/>
        </w:rPr>
        <w:t>C.</w:t>
      </w:r>
      <w:r>
        <w:rPr>
          <w:rFonts w:ascii="Garamond" w:hAnsi="Garamond" w:cs="AppleSystemUIFont"/>
          <w:b/>
          <w:bCs/>
          <w:sz w:val="26"/>
          <w:szCs w:val="26"/>
        </w:rPr>
        <w:tab/>
      </w:r>
      <w:r w:rsidR="008F791F">
        <w:rPr>
          <w:rFonts w:ascii="Garamond" w:hAnsi="Garamond" w:cs="AppleSystemUIFont"/>
          <w:b/>
          <w:bCs/>
          <w:sz w:val="26"/>
          <w:szCs w:val="26"/>
        </w:rPr>
        <w:t>Provocative act murder</w:t>
      </w:r>
    </w:p>
    <w:p w14:paraId="2FDCA086" w14:textId="77777777" w:rsidR="00AD18AA" w:rsidRDefault="008F791F" w:rsidP="00AD18AA">
      <w:pPr>
        <w:rPr>
          <w:rFonts w:ascii="Garamond" w:hAnsi="Garamond" w:cs="AppleSystemUIFont"/>
          <w:sz w:val="26"/>
          <w:szCs w:val="26"/>
        </w:rPr>
      </w:pPr>
      <w:r w:rsidRPr="00970D4C">
        <w:rPr>
          <w:rFonts w:ascii="Garamond" w:hAnsi="Garamond" w:cs="AppleSystemUIFont"/>
          <w:sz w:val="26"/>
          <w:szCs w:val="26"/>
        </w:rPr>
        <w:t xml:space="preserve">In </w:t>
      </w:r>
      <w:r w:rsidR="008B3619">
        <w:rPr>
          <w:rFonts w:ascii="Garamond" w:hAnsi="Garamond" w:cs="AppleSystemUIFont"/>
          <w:sz w:val="26"/>
          <w:szCs w:val="26"/>
        </w:rPr>
        <w:t>Katherine</w:t>
      </w:r>
      <w:r>
        <w:rPr>
          <w:rFonts w:ascii="Garamond" w:hAnsi="Garamond" w:cs="AppleSystemUIFont"/>
          <w:sz w:val="26"/>
          <w:szCs w:val="26"/>
        </w:rPr>
        <w:t xml:space="preserve"> N. Hallinan’s </w:t>
      </w:r>
      <w:r w:rsidRPr="00970D4C">
        <w:rPr>
          <w:rFonts w:ascii="Garamond" w:eastAsia="Times New Roman" w:hAnsi="Garamond" w:cs="Times New Roman"/>
          <w:sz w:val="26"/>
          <w:szCs w:val="26"/>
        </w:rPr>
        <w:t>“</w:t>
      </w:r>
      <w:r w:rsidRPr="00970D4C">
        <w:rPr>
          <w:rFonts w:ascii="Garamond" w:eastAsia="Times New Roman" w:hAnsi="Garamond" w:cs="Times New Roman"/>
          <w:i/>
          <w:iCs/>
          <w:sz w:val="26"/>
          <w:szCs w:val="26"/>
        </w:rPr>
        <w:t>A Deadly Response: Unconscious Racism and California</w:t>
      </w:r>
      <w:r>
        <w:rPr>
          <w:rFonts w:ascii="Garamond" w:eastAsia="Times New Roman" w:hAnsi="Garamond" w:cs="Times New Roman"/>
          <w:i/>
          <w:iCs/>
          <w:sz w:val="26"/>
          <w:szCs w:val="26"/>
        </w:rPr>
        <w:t>’</w:t>
      </w:r>
      <w:r w:rsidRPr="00970D4C">
        <w:rPr>
          <w:rFonts w:ascii="Garamond" w:eastAsia="Times New Roman" w:hAnsi="Garamond" w:cs="Times New Roman"/>
          <w:i/>
          <w:iCs/>
          <w:sz w:val="26"/>
          <w:szCs w:val="26"/>
        </w:rPr>
        <w:t>s Provocative Act Doctrine</w:t>
      </w:r>
      <w:r>
        <w:rPr>
          <w:rFonts w:ascii="Garamond" w:eastAsia="Times New Roman" w:hAnsi="Garamond" w:cs="Times New Roman"/>
          <w:i/>
          <w:iCs/>
          <w:sz w:val="26"/>
          <w:szCs w:val="26"/>
        </w:rPr>
        <w:t>,</w:t>
      </w:r>
      <w:r w:rsidRPr="00970D4C">
        <w:rPr>
          <w:rFonts w:ascii="Garamond" w:eastAsia="Times New Roman" w:hAnsi="Garamond" w:cs="Times New Roman"/>
          <w:sz w:val="26"/>
          <w:szCs w:val="26"/>
        </w:rPr>
        <w:t xml:space="preserve">” </w:t>
      </w:r>
      <w:r>
        <w:rPr>
          <w:rFonts w:ascii="Garamond" w:eastAsia="Times New Roman" w:hAnsi="Garamond" w:cs="Times New Roman"/>
          <w:sz w:val="26"/>
          <w:szCs w:val="26"/>
        </w:rPr>
        <w:t xml:space="preserve">Hallinan </w:t>
      </w:r>
      <w:r w:rsidRPr="00970D4C">
        <w:rPr>
          <w:rFonts w:ascii="Garamond" w:hAnsi="Garamond" w:cs="AppleSystemUIFont"/>
          <w:sz w:val="26"/>
          <w:szCs w:val="26"/>
        </w:rPr>
        <w:t>discuss</w:t>
      </w:r>
      <w:r>
        <w:rPr>
          <w:rFonts w:ascii="Garamond" w:hAnsi="Garamond" w:cs="AppleSystemUIFont"/>
          <w:sz w:val="26"/>
          <w:szCs w:val="26"/>
        </w:rPr>
        <w:t>es</w:t>
      </w:r>
      <w:r w:rsidRPr="00970D4C">
        <w:rPr>
          <w:rFonts w:ascii="Garamond" w:hAnsi="Garamond" w:cs="AppleSystemUIFont"/>
          <w:sz w:val="26"/>
          <w:szCs w:val="26"/>
        </w:rPr>
        <w:t xml:space="preserve"> the racial bias that surrounds the provocative act murder doctrine. With reference to multiple studies, </w:t>
      </w:r>
      <w:r>
        <w:rPr>
          <w:rFonts w:ascii="Garamond" w:hAnsi="Garamond" w:cs="AppleSystemUIFont"/>
          <w:sz w:val="26"/>
          <w:szCs w:val="26"/>
        </w:rPr>
        <w:t>Hallinan</w:t>
      </w:r>
      <w:r w:rsidRPr="00970D4C">
        <w:rPr>
          <w:rFonts w:ascii="Garamond" w:hAnsi="Garamond" w:cs="AppleSystemUIFont"/>
          <w:sz w:val="26"/>
          <w:szCs w:val="26"/>
        </w:rPr>
        <w:t xml:space="preserve"> suggest</w:t>
      </w:r>
      <w:r>
        <w:rPr>
          <w:rFonts w:ascii="Garamond" w:hAnsi="Garamond" w:cs="AppleSystemUIFont"/>
          <w:sz w:val="26"/>
          <w:szCs w:val="26"/>
        </w:rPr>
        <w:t>s</w:t>
      </w:r>
      <w:r w:rsidRPr="00970D4C">
        <w:rPr>
          <w:rFonts w:ascii="Garamond" w:hAnsi="Garamond" w:cs="AppleSystemUIFont"/>
          <w:sz w:val="26"/>
          <w:szCs w:val="26"/>
        </w:rPr>
        <w:t xml:space="preserve"> that “the very elements of the [provocative act] doctrine lead to the conviction of minorities for</w:t>
      </w:r>
      <w:r w:rsidRPr="00CF0E87">
        <w:rPr>
          <w:rFonts w:ascii="Garamond" w:hAnsi="Garamond" w:cs="AppleSystemUIFont"/>
          <w:sz w:val="26"/>
          <w:szCs w:val="26"/>
        </w:rPr>
        <w:t xml:space="preserve"> provocative act murder under circumstances where similarly situated white persons would likely not be charged.</w:t>
      </w:r>
      <w:r>
        <w:rPr>
          <w:rFonts w:ascii="Garamond" w:hAnsi="Garamond" w:cs="AppleSystemUIFont"/>
          <w:sz w:val="26"/>
          <w:szCs w:val="26"/>
        </w:rPr>
        <w:t xml:space="preserve">” (See </w:t>
      </w:r>
      <w:r w:rsidRPr="009869B7">
        <w:rPr>
          <w:rFonts w:ascii="Garamond" w:hAnsi="Garamond" w:cs="AppleSystemUIFont"/>
          <w:sz w:val="26"/>
          <w:szCs w:val="26"/>
        </w:rPr>
        <w:t xml:space="preserve">Katherine N. Hallinan, </w:t>
      </w:r>
      <w:r w:rsidRPr="009869B7">
        <w:rPr>
          <w:rFonts w:ascii="Garamond" w:hAnsi="Garamond" w:cs="AppleSystemUIFont"/>
          <w:i/>
          <w:iCs/>
          <w:sz w:val="26"/>
          <w:szCs w:val="26"/>
        </w:rPr>
        <w:t>A Deadly Response: Unconscious Racism and California</w:t>
      </w:r>
      <w:r>
        <w:rPr>
          <w:rFonts w:ascii="Garamond" w:hAnsi="Garamond" w:cs="AppleSystemUIFont"/>
          <w:i/>
          <w:iCs/>
          <w:sz w:val="26"/>
          <w:szCs w:val="26"/>
        </w:rPr>
        <w:t>’</w:t>
      </w:r>
      <w:r w:rsidRPr="009869B7">
        <w:rPr>
          <w:rFonts w:ascii="Garamond" w:hAnsi="Garamond" w:cs="AppleSystemUIFont"/>
          <w:i/>
          <w:iCs/>
          <w:sz w:val="26"/>
          <w:szCs w:val="26"/>
        </w:rPr>
        <w:t>s Provocative Act Doctrine</w:t>
      </w:r>
      <w:r>
        <w:rPr>
          <w:rFonts w:ascii="Garamond" w:hAnsi="Garamond" w:cs="AppleSystemUIFont"/>
          <w:sz w:val="26"/>
          <w:szCs w:val="26"/>
        </w:rPr>
        <w:t xml:space="preserve"> (2010) </w:t>
      </w:r>
      <w:r w:rsidRPr="009869B7">
        <w:rPr>
          <w:rFonts w:ascii="Garamond" w:hAnsi="Garamond" w:cs="AppleSystemUIFont"/>
          <w:sz w:val="26"/>
          <w:szCs w:val="26"/>
        </w:rPr>
        <w:t>7 Hastings Race &amp; Poverty L.J. 71</w:t>
      </w:r>
      <w:r>
        <w:rPr>
          <w:rFonts w:ascii="Garamond" w:hAnsi="Garamond" w:cs="AppleSystemUIFont"/>
          <w:sz w:val="26"/>
          <w:szCs w:val="26"/>
        </w:rPr>
        <w:t>.)</w:t>
      </w:r>
    </w:p>
    <w:p w14:paraId="38F6FAAE" w14:textId="6718506F" w:rsidR="00AD18AA" w:rsidRPr="00AD18AA" w:rsidRDefault="00452D39" w:rsidP="00452D39">
      <w:pPr>
        <w:keepNext/>
        <w:keepLines/>
        <w:rPr>
          <w:rFonts w:ascii="Garamond" w:hAnsi="Garamond" w:cs="AppleSystemUIFont"/>
          <w:sz w:val="26"/>
          <w:szCs w:val="26"/>
        </w:rPr>
      </w:pPr>
      <w:r>
        <w:rPr>
          <w:rFonts w:ascii="Garamond" w:hAnsi="Garamond" w:cs="AppleSystemUIFont"/>
          <w:b/>
          <w:sz w:val="26"/>
          <w:szCs w:val="26"/>
        </w:rPr>
        <w:lastRenderedPageBreak/>
        <w:t>D.</w:t>
      </w:r>
      <w:r>
        <w:rPr>
          <w:rFonts w:ascii="Garamond" w:hAnsi="Garamond" w:cs="AppleSystemUIFont"/>
          <w:b/>
          <w:sz w:val="26"/>
          <w:szCs w:val="26"/>
        </w:rPr>
        <w:tab/>
      </w:r>
      <w:r w:rsidR="00AD18AA" w:rsidRPr="00AD18AA">
        <w:rPr>
          <w:rFonts w:ascii="Garamond" w:hAnsi="Garamond" w:cs="AppleSystemUIFont"/>
          <w:b/>
          <w:sz w:val="26"/>
          <w:szCs w:val="26"/>
        </w:rPr>
        <w:t xml:space="preserve">Use of the phrase “Common Sense” </w:t>
      </w:r>
    </w:p>
    <w:p w14:paraId="5ED96886" w14:textId="734A306F" w:rsidR="008F791F" w:rsidRDefault="00AD18AA" w:rsidP="00AD18AA">
      <w:pPr>
        <w:keepNext/>
        <w:keepLines/>
        <w:rPr>
          <w:rFonts w:ascii="Garamond" w:hAnsi="Garamond" w:cs="AppleSystemUIFont"/>
          <w:sz w:val="26"/>
          <w:szCs w:val="26"/>
        </w:rPr>
      </w:pPr>
      <w:r w:rsidRPr="00AD18AA">
        <w:rPr>
          <w:rFonts w:ascii="Garamond" w:hAnsi="Garamond" w:cs="AppleSystemUIFont"/>
          <w:sz w:val="26"/>
          <w:szCs w:val="26"/>
        </w:rPr>
        <w:t>How often have you seen a prosecutor argue in closing that all the jury need do is rely on their “common sense” to reach the guilty verdict</w:t>
      </w:r>
      <w:r w:rsidR="00A557D3">
        <w:rPr>
          <w:rFonts w:ascii="Garamond" w:hAnsi="Garamond" w:cs="AppleSystemUIFont"/>
          <w:sz w:val="26"/>
          <w:szCs w:val="26"/>
        </w:rPr>
        <w:t xml:space="preserve">? The research for this article included review of </w:t>
      </w:r>
      <w:r w:rsidR="008F791F">
        <w:rPr>
          <w:rFonts w:ascii="Garamond" w:hAnsi="Garamond" w:cs="AppleSystemUIFont"/>
          <w:sz w:val="26"/>
          <w:szCs w:val="26"/>
        </w:rPr>
        <w:t>“</w:t>
      </w:r>
      <w:r w:rsidR="008F791F" w:rsidRPr="00970D4C">
        <w:rPr>
          <w:rFonts w:ascii="Garamond" w:hAnsi="Garamond" w:cs="AppleSystemUIFont"/>
          <w:i/>
          <w:iCs/>
          <w:sz w:val="26"/>
          <w:szCs w:val="26"/>
        </w:rPr>
        <w:t>Is Color Blind Justice Also Culturally Blind? The Cultural Blindness in Justice</w:t>
      </w:r>
      <w:r w:rsidR="008F791F">
        <w:rPr>
          <w:rFonts w:ascii="Garamond" w:hAnsi="Garamond" w:cs="AppleSystemUIFont"/>
          <w:sz w:val="26"/>
          <w:szCs w:val="26"/>
        </w:rPr>
        <w:t>” (2012)</w:t>
      </w:r>
      <w:r w:rsidR="008F791F" w:rsidRPr="00F80EC6">
        <w:rPr>
          <w:rFonts w:ascii="Garamond" w:hAnsi="Garamond" w:cs="AppleSystemUIFont"/>
          <w:sz w:val="26"/>
          <w:szCs w:val="26"/>
        </w:rPr>
        <w:t xml:space="preserve"> 14 Berkeley J. Afr.-Am. L. &amp; Pol</w:t>
      </w:r>
      <w:r w:rsidR="008F791F">
        <w:rPr>
          <w:rFonts w:ascii="Garamond" w:hAnsi="Garamond" w:cs="AppleSystemUIFont"/>
          <w:sz w:val="26"/>
          <w:szCs w:val="26"/>
        </w:rPr>
        <w:t>’</w:t>
      </w:r>
      <w:r w:rsidR="008F791F" w:rsidRPr="00F80EC6">
        <w:rPr>
          <w:rFonts w:ascii="Garamond" w:hAnsi="Garamond" w:cs="AppleSystemUIFont"/>
          <w:sz w:val="26"/>
          <w:szCs w:val="26"/>
        </w:rPr>
        <w:t>y 23</w:t>
      </w:r>
      <w:r w:rsidR="008F791F">
        <w:rPr>
          <w:rFonts w:ascii="Garamond" w:hAnsi="Garamond" w:cs="AppleSystemUIFont"/>
          <w:sz w:val="26"/>
          <w:szCs w:val="26"/>
        </w:rPr>
        <w:t xml:space="preserve">. On the topic of what constitutes “common sense” this author makes a fascinating point that made me rethink my own understanding of the phrase. When used to argue to a jury, the prosecutor is effectively asking them to find against a defendant on the basis of their race. </w:t>
      </w:r>
    </w:p>
    <w:p w14:paraId="558BC20F" w14:textId="77777777" w:rsidR="008F791F" w:rsidRDefault="008F791F" w:rsidP="00144DF5">
      <w:pPr>
        <w:rPr>
          <w:rFonts w:ascii="Garamond" w:hAnsi="Garamond" w:cs="AppleSystemUIFont"/>
          <w:sz w:val="26"/>
          <w:szCs w:val="26"/>
        </w:rPr>
      </w:pPr>
      <w:r>
        <w:rPr>
          <w:rFonts w:ascii="Garamond" w:hAnsi="Garamond" w:cs="AppleSystemUIFont"/>
          <w:sz w:val="26"/>
          <w:szCs w:val="26"/>
        </w:rPr>
        <w:t xml:space="preserve">The article demonstrates why the concept of “common sense” is inextricably linked with racism. Simply put, “common sense” is an acronym for generally accepted societal norms. The problem is that the generally accepted societal norm does not reflect societies’ racial and cultural diversity. Instead, “common sense” is a euphemism for the dominant white perspective. In turn, the “common sense” to which a prosecutor is urging the jury to rely is the white dominant norm, and so a jury using their common sense could be a jury demonstrating implicit bias in its decision making against a non-white defendant. </w:t>
      </w:r>
    </w:p>
    <w:p w14:paraId="6DA08A12" w14:textId="77777777" w:rsidR="008F791F" w:rsidRPr="00F80EC6" w:rsidRDefault="008F791F" w:rsidP="00144DF5">
      <w:pPr>
        <w:rPr>
          <w:rFonts w:ascii="Garamond" w:hAnsi="Garamond" w:cs="AppleSystemUIFont"/>
          <w:sz w:val="26"/>
          <w:szCs w:val="26"/>
        </w:rPr>
      </w:pPr>
      <w:r>
        <w:rPr>
          <w:rFonts w:ascii="Garamond" w:hAnsi="Garamond" w:cs="AppleSystemUIFont"/>
          <w:sz w:val="26"/>
          <w:szCs w:val="26"/>
        </w:rPr>
        <w:t>“</w:t>
      </w:r>
      <w:r w:rsidRPr="00F80EC6">
        <w:rPr>
          <w:rFonts w:ascii="Garamond" w:hAnsi="Garamond" w:cs="AppleSystemUIFont"/>
          <w:sz w:val="26"/>
          <w:szCs w:val="26"/>
        </w:rPr>
        <w:t>When judges claim that race and culture are not relevant in a courtroom involving a minority, they are being either naive or dishonest. Judges and juries come to court with their life experiences, biases, prejudices, and stereotypes. These simply are not dropped at the courthouse door. [For example, w]hen they are led to believe by the news media that African Americans commit all the crimes, this is what they are going to see when an African American is a defendant in a criminal trial. Race and culture are always relevant and extant when middle- or upper-class white persons are defendants in a courtroom.</w:t>
      </w:r>
      <w:r>
        <w:rPr>
          <w:rFonts w:ascii="Garamond" w:hAnsi="Garamond" w:cs="AppleSystemUIFont"/>
          <w:sz w:val="26"/>
          <w:szCs w:val="26"/>
        </w:rPr>
        <w:t>” (Article,</w:t>
      </w:r>
      <w:r w:rsidRPr="00A75C0A">
        <w:rPr>
          <w:rFonts w:ascii="Garamond" w:hAnsi="Garamond" w:cs="AppleSystemUIFont"/>
          <w:sz w:val="26"/>
          <w:szCs w:val="26"/>
        </w:rPr>
        <w:t xml:space="preserve"> </w:t>
      </w:r>
      <w:r w:rsidRPr="00A75C0A">
        <w:rPr>
          <w:rFonts w:ascii="Garamond" w:hAnsi="Garamond" w:cs="AppleSystemUIFont"/>
          <w:i/>
          <w:iCs/>
          <w:sz w:val="26"/>
          <w:szCs w:val="26"/>
        </w:rPr>
        <w:t>Is Color Blind Justice Also Culturally Blind? The Cultural Blindness in Justice</w:t>
      </w:r>
      <w:r w:rsidRPr="00A75C0A">
        <w:rPr>
          <w:rFonts w:ascii="Garamond" w:hAnsi="Garamond" w:cs="AppleSystemUIFont"/>
          <w:sz w:val="26"/>
          <w:szCs w:val="26"/>
        </w:rPr>
        <w:t>, 14 Berkeley J. Afr.-Am. L. &amp; Pol</w:t>
      </w:r>
      <w:r>
        <w:rPr>
          <w:rFonts w:ascii="Garamond" w:hAnsi="Garamond" w:cs="AppleSystemUIFont"/>
          <w:sz w:val="26"/>
          <w:szCs w:val="26"/>
        </w:rPr>
        <w:t>’</w:t>
      </w:r>
      <w:r w:rsidRPr="00A75C0A">
        <w:rPr>
          <w:rFonts w:ascii="Garamond" w:hAnsi="Garamond" w:cs="AppleSystemUIFont"/>
          <w:sz w:val="26"/>
          <w:szCs w:val="26"/>
        </w:rPr>
        <w:t xml:space="preserve">y </w:t>
      </w:r>
      <w:r>
        <w:rPr>
          <w:rFonts w:ascii="Garamond" w:hAnsi="Garamond" w:cs="AppleSystemUIFont"/>
          <w:sz w:val="26"/>
          <w:szCs w:val="26"/>
        </w:rPr>
        <w:t xml:space="preserve">at p. 35, quoting </w:t>
      </w:r>
      <w:r w:rsidRPr="00A75C0A">
        <w:rPr>
          <w:rFonts w:ascii="Garamond" w:hAnsi="Garamond" w:cs="AppleSystemUIFont"/>
          <w:sz w:val="26"/>
          <w:szCs w:val="26"/>
        </w:rPr>
        <w:t>Rudolph Alexander, Jr., Trials and Tribulations of African Americans in the Courtroom, in Race, Culture, Psychology &amp; Law 88 (Kimberly H. Barrett &amp; William H. George, eds. 2005)</w:t>
      </w:r>
      <w:r>
        <w:rPr>
          <w:rFonts w:ascii="Garamond" w:hAnsi="Garamond" w:cs="AppleSystemUIFont"/>
          <w:sz w:val="26"/>
          <w:szCs w:val="26"/>
        </w:rPr>
        <w:t xml:space="preserve">.) </w:t>
      </w:r>
    </w:p>
    <w:p w14:paraId="42DDBF76" w14:textId="66757C6B" w:rsidR="008F791F" w:rsidRDefault="008F791F" w:rsidP="00144DF5">
      <w:pPr>
        <w:rPr>
          <w:rFonts w:ascii="Garamond" w:hAnsi="Garamond" w:cs="AppleSystemUIFont"/>
          <w:sz w:val="26"/>
          <w:szCs w:val="26"/>
        </w:rPr>
      </w:pPr>
      <w:r>
        <w:rPr>
          <w:rFonts w:ascii="Garamond" w:hAnsi="Garamond" w:cs="AppleSystemUIFont"/>
          <w:sz w:val="26"/>
          <w:szCs w:val="26"/>
        </w:rPr>
        <w:t>“[W]</w:t>
      </w:r>
      <w:r w:rsidRPr="00F80EC6">
        <w:rPr>
          <w:rFonts w:ascii="Garamond" w:hAnsi="Garamond" w:cs="AppleSystemUIFont"/>
          <w:sz w:val="26"/>
          <w:szCs w:val="26"/>
        </w:rPr>
        <w:t>hile individuals may have prejudices outside of the jury box, the system hopes they will temporarily set aside such prejudices when formally participating in fact-finding and deliberations regarding the civil liberties of another person from a different culture.</w:t>
      </w:r>
      <w:r>
        <w:rPr>
          <w:rFonts w:ascii="Garamond" w:hAnsi="Garamond" w:cs="AppleSystemUIFont"/>
          <w:sz w:val="26"/>
          <w:szCs w:val="26"/>
        </w:rPr>
        <w:t xml:space="preserve"> T</w:t>
      </w:r>
      <w:r w:rsidRPr="00F80EC6">
        <w:rPr>
          <w:rFonts w:ascii="Garamond" w:hAnsi="Garamond" w:cs="AppleSystemUIFont"/>
          <w:sz w:val="26"/>
          <w:szCs w:val="26"/>
        </w:rPr>
        <w:t xml:space="preserve">he system also relies on the notion that the wealthy patron will leave the mall, go to the courthouse, swear in front of a judge, and set aside </w:t>
      </w:r>
      <w:r>
        <w:rPr>
          <w:rFonts w:ascii="Garamond" w:hAnsi="Garamond" w:cs="AppleSystemUIFont"/>
          <w:sz w:val="26"/>
          <w:szCs w:val="26"/>
        </w:rPr>
        <w:t>biased</w:t>
      </w:r>
      <w:r w:rsidRPr="00F80EC6">
        <w:rPr>
          <w:rFonts w:ascii="Garamond" w:hAnsi="Garamond" w:cs="AppleSystemUIFont"/>
          <w:sz w:val="26"/>
          <w:szCs w:val="26"/>
        </w:rPr>
        <w:t xml:space="preserve"> feelings about the homeless if given a set of objective facts involving the homeless defendant. The defendant may ask the patron and jurors to use common sense during the trial and to recognize that the stereotype of being homeless does not mean he is a criminal; when in fact this notion of common sense itself is shaped by stereotypes</w:t>
      </w:r>
      <w:r>
        <w:rPr>
          <w:rFonts w:ascii="Garamond" w:hAnsi="Garamond" w:cs="AppleSystemUIFont"/>
          <w:sz w:val="26"/>
          <w:szCs w:val="26"/>
        </w:rPr>
        <w:t>.” (Article,</w:t>
      </w:r>
      <w:r w:rsidRPr="00A75C0A">
        <w:rPr>
          <w:rFonts w:ascii="Garamond" w:hAnsi="Garamond" w:cs="AppleSystemUIFont"/>
          <w:sz w:val="26"/>
          <w:szCs w:val="26"/>
        </w:rPr>
        <w:t xml:space="preserve"> </w:t>
      </w:r>
      <w:r w:rsidRPr="00A75C0A">
        <w:rPr>
          <w:rFonts w:ascii="Garamond" w:hAnsi="Garamond" w:cs="AppleSystemUIFont"/>
          <w:i/>
          <w:iCs/>
          <w:sz w:val="26"/>
          <w:szCs w:val="26"/>
        </w:rPr>
        <w:t>Is Color Blind Justice Also Culturally Blind? The Cultural Blindness in Justice</w:t>
      </w:r>
      <w:r w:rsidRPr="00A75C0A">
        <w:rPr>
          <w:rFonts w:ascii="Garamond" w:hAnsi="Garamond" w:cs="AppleSystemUIFont"/>
          <w:sz w:val="26"/>
          <w:szCs w:val="26"/>
        </w:rPr>
        <w:t>, 14 Berkeley J. Afr.-Am. L. &amp; Pol</w:t>
      </w:r>
      <w:r>
        <w:rPr>
          <w:rFonts w:ascii="Garamond" w:hAnsi="Garamond" w:cs="AppleSystemUIFont"/>
          <w:sz w:val="26"/>
          <w:szCs w:val="26"/>
        </w:rPr>
        <w:t>’</w:t>
      </w:r>
      <w:r w:rsidRPr="00A75C0A">
        <w:rPr>
          <w:rFonts w:ascii="Garamond" w:hAnsi="Garamond" w:cs="AppleSystemUIFont"/>
          <w:sz w:val="26"/>
          <w:szCs w:val="26"/>
        </w:rPr>
        <w:t>y</w:t>
      </w:r>
      <w:r>
        <w:rPr>
          <w:rFonts w:ascii="Garamond" w:hAnsi="Garamond" w:cs="AppleSystemUIFont"/>
          <w:sz w:val="26"/>
          <w:szCs w:val="26"/>
        </w:rPr>
        <w:t xml:space="preserve"> at pp. 36-37, internal citations omitted.)</w:t>
      </w:r>
    </w:p>
    <w:p w14:paraId="22FD477C" w14:textId="78ECF631" w:rsidR="0042608E" w:rsidRDefault="00F95E4E" w:rsidP="00144DF5">
      <w:pPr>
        <w:rPr>
          <w:rFonts w:ascii="Garamond" w:hAnsi="Garamond" w:cs="AppleSystemUIFont"/>
          <w:sz w:val="26"/>
          <w:szCs w:val="26"/>
        </w:rPr>
      </w:pPr>
      <w:r>
        <w:rPr>
          <w:rFonts w:ascii="Garamond" w:hAnsi="Garamond" w:cs="AppleSystemUIFont"/>
          <w:sz w:val="26"/>
          <w:szCs w:val="26"/>
        </w:rPr>
        <w:lastRenderedPageBreak/>
        <w:t>To summarize this section</w:t>
      </w:r>
      <w:r w:rsidR="00452D39">
        <w:rPr>
          <w:rFonts w:ascii="Garamond" w:hAnsi="Garamond" w:cs="AppleSystemUIFont"/>
          <w:sz w:val="26"/>
          <w:szCs w:val="26"/>
        </w:rPr>
        <w:t>,</w:t>
      </w:r>
      <w:r w:rsidR="0042608E">
        <w:rPr>
          <w:rFonts w:ascii="Garamond" w:hAnsi="Garamond" w:cs="AppleSystemUIFont"/>
          <w:sz w:val="26"/>
          <w:szCs w:val="26"/>
        </w:rPr>
        <w:t xml:space="preserve"> the potential use for social science in our claims of racial injustice is immeasurable, but it may not be easy</w:t>
      </w:r>
      <w:r w:rsidR="00A11A9D">
        <w:rPr>
          <w:rFonts w:ascii="Garamond" w:hAnsi="Garamond" w:cs="AppleSystemUIFont"/>
          <w:sz w:val="26"/>
          <w:szCs w:val="26"/>
        </w:rPr>
        <w:t xml:space="preserve"> to do and is some</w:t>
      </w:r>
      <w:r w:rsidR="00452D39">
        <w:rPr>
          <w:rFonts w:ascii="Garamond" w:hAnsi="Garamond" w:cs="AppleSystemUIFont"/>
          <w:sz w:val="26"/>
          <w:szCs w:val="26"/>
        </w:rPr>
        <w:t xml:space="preserve">what an unchartered territory. One </w:t>
      </w:r>
      <w:r w:rsidR="00A11A9D">
        <w:rPr>
          <w:rFonts w:ascii="Garamond" w:hAnsi="Garamond" w:cs="AppleSystemUIFont"/>
          <w:sz w:val="26"/>
          <w:szCs w:val="26"/>
        </w:rPr>
        <w:t xml:space="preserve"> suggestion is to consider the extent to which your client was subject to racial bias</w:t>
      </w:r>
      <w:r w:rsidRPr="00452D39">
        <w:rPr>
          <w:rFonts w:ascii="Garamond" w:hAnsi="Garamond" w:cs="AppleSystemUIFont"/>
          <w:i/>
          <w:sz w:val="26"/>
          <w:szCs w:val="26"/>
        </w:rPr>
        <w:t xml:space="preserve"> </w:t>
      </w:r>
      <w:r w:rsidR="00452D39" w:rsidRPr="00452D39">
        <w:rPr>
          <w:rFonts w:ascii="Garamond" w:hAnsi="Garamond" w:cs="AppleSystemUIFont"/>
          <w:i/>
          <w:sz w:val="26"/>
          <w:szCs w:val="26"/>
        </w:rPr>
        <w:t>in every case</w:t>
      </w:r>
      <w:r w:rsidR="00452D39">
        <w:rPr>
          <w:rFonts w:ascii="Garamond" w:hAnsi="Garamond" w:cs="AppleSystemUIFont"/>
          <w:sz w:val="26"/>
          <w:szCs w:val="26"/>
        </w:rPr>
        <w:t xml:space="preserve"> </w:t>
      </w:r>
      <w:r>
        <w:rPr>
          <w:rFonts w:ascii="Garamond" w:hAnsi="Garamond" w:cs="AppleSystemUIFont"/>
          <w:sz w:val="26"/>
          <w:szCs w:val="26"/>
        </w:rPr>
        <w:t>whether directly or as a consequence of implicit bias.</w:t>
      </w:r>
      <w:r w:rsidR="0097226C">
        <w:rPr>
          <w:rFonts w:ascii="Garamond" w:hAnsi="Garamond" w:cs="AppleSystemUIFont"/>
          <w:sz w:val="26"/>
          <w:szCs w:val="26"/>
        </w:rPr>
        <w:t xml:space="preserve"> </w:t>
      </w:r>
      <w:r w:rsidR="00452D39">
        <w:rPr>
          <w:rFonts w:ascii="Garamond" w:hAnsi="Garamond" w:cs="AppleSystemUIFont"/>
          <w:sz w:val="26"/>
          <w:szCs w:val="26"/>
        </w:rPr>
        <w:t xml:space="preserve">With this insight, consider using </w:t>
      </w:r>
      <w:r w:rsidR="0097226C">
        <w:rPr>
          <w:rFonts w:ascii="Garamond" w:hAnsi="Garamond" w:cs="AppleSystemUIFont"/>
          <w:sz w:val="26"/>
          <w:szCs w:val="26"/>
        </w:rPr>
        <w:t xml:space="preserve">the social science to help further your claims of not just prejudice but also legal error </w:t>
      </w:r>
      <w:r w:rsidR="00452D39">
        <w:rPr>
          <w:rFonts w:ascii="Garamond" w:hAnsi="Garamond" w:cs="AppleSystemUIFont"/>
          <w:sz w:val="26"/>
          <w:szCs w:val="26"/>
        </w:rPr>
        <w:t xml:space="preserve">(e.g., a </w:t>
      </w:r>
      <w:r w:rsidR="0097226C">
        <w:rPr>
          <w:rFonts w:ascii="Garamond" w:hAnsi="Garamond" w:cs="AppleSystemUIFont"/>
          <w:sz w:val="26"/>
          <w:szCs w:val="26"/>
        </w:rPr>
        <w:t>Fourth Amendment claim, the erroneous admission or exclusion of evidence, prosecutorial misconduct, or instructional error</w:t>
      </w:r>
      <w:r w:rsidR="00452D39">
        <w:rPr>
          <w:rFonts w:ascii="Garamond" w:hAnsi="Garamond" w:cs="AppleSystemUIFont"/>
          <w:sz w:val="26"/>
          <w:szCs w:val="26"/>
        </w:rPr>
        <w:t>)</w:t>
      </w:r>
      <w:r w:rsidR="0097226C">
        <w:rPr>
          <w:rFonts w:ascii="Garamond" w:hAnsi="Garamond" w:cs="AppleSystemUIFont"/>
          <w:sz w:val="26"/>
          <w:szCs w:val="26"/>
        </w:rPr>
        <w:t xml:space="preserve">. </w:t>
      </w:r>
    </w:p>
    <w:p w14:paraId="5006F380" w14:textId="77777777" w:rsidR="008F791F" w:rsidRPr="008F791F" w:rsidRDefault="008F791F" w:rsidP="00724C3A">
      <w:pPr>
        <w:pStyle w:val="ListParagraph"/>
        <w:numPr>
          <w:ilvl w:val="0"/>
          <w:numId w:val="1"/>
        </w:numPr>
        <w:ind w:left="720"/>
        <w:rPr>
          <w:rFonts w:ascii="Garamond" w:hAnsi="Garamond" w:cs="AppleSystemUIFont"/>
          <w:b/>
          <w:bCs/>
          <w:sz w:val="26"/>
          <w:szCs w:val="26"/>
        </w:rPr>
      </w:pPr>
      <w:r w:rsidRPr="008F791F">
        <w:rPr>
          <w:rFonts w:ascii="Garamond" w:hAnsi="Garamond" w:cs="AppleSystemUIFont"/>
          <w:b/>
          <w:bCs/>
          <w:sz w:val="26"/>
          <w:szCs w:val="26"/>
        </w:rPr>
        <w:t>Deve</w:t>
      </w:r>
      <w:r w:rsidR="00954A2E">
        <w:rPr>
          <w:rFonts w:ascii="Garamond" w:hAnsi="Garamond" w:cs="AppleSystemUIFont"/>
          <w:b/>
          <w:bCs/>
          <w:sz w:val="26"/>
          <w:szCs w:val="26"/>
        </w:rPr>
        <w:t>lopmental science and juveniles</w:t>
      </w:r>
    </w:p>
    <w:p w14:paraId="35B842FA" w14:textId="070511BC" w:rsidR="008F791F" w:rsidRDefault="008F791F" w:rsidP="002F4A80">
      <w:pPr>
        <w:rPr>
          <w:rFonts w:ascii="Garamond" w:hAnsi="Garamond" w:cs="AppleSystemUIFont"/>
          <w:sz w:val="26"/>
          <w:szCs w:val="26"/>
        </w:rPr>
      </w:pPr>
      <w:r>
        <w:rPr>
          <w:rFonts w:ascii="Garamond" w:hAnsi="Garamond" w:cs="AppleSystemUIFont"/>
          <w:sz w:val="26"/>
          <w:szCs w:val="26"/>
        </w:rPr>
        <w:t xml:space="preserve">At both the state and national level, there is increasing recognition that humans under the age of about 25 are not as </w:t>
      </w:r>
      <w:r w:rsidR="002F4A80">
        <w:rPr>
          <w:rFonts w:ascii="Garamond" w:hAnsi="Garamond" w:cs="AppleSystemUIFont"/>
          <w:sz w:val="26"/>
          <w:szCs w:val="26"/>
        </w:rPr>
        <w:t>responsible</w:t>
      </w:r>
      <w:r>
        <w:rPr>
          <w:rFonts w:ascii="Garamond" w:hAnsi="Garamond" w:cs="AppleSystemUIFont"/>
          <w:sz w:val="26"/>
          <w:szCs w:val="26"/>
        </w:rPr>
        <w:t xml:space="preserve"> for their conduct as their adult </w:t>
      </w:r>
      <w:r w:rsidRPr="008951E4">
        <w:rPr>
          <w:rFonts w:ascii="Garamond" w:hAnsi="Garamond" w:cs="AppleSystemUIFont"/>
          <w:sz w:val="26"/>
          <w:szCs w:val="26"/>
        </w:rPr>
        <w:t xml:space="preserve">peers. (See </w:t>
      </w:r>
      <w:r>
        <w:rPr>
          <w:rFonts w:ascii="Garamond" w:hAnsi="Garamond" w:cs="AppleSystemUIFont"/>
          <w:sz w:val="26"/>
          <w:szCs w:val="26"/>
        </w:rPr>
        <w:t xml:space="preserve">e.g., </w:t>
      </w:r>
      <w:r w:rsidRPr="008951E4">
        <w:rPr>
          <w:rFonts w:ascii="Garamond" w:hAnsi="Garamond" w:cs="AppleSystemUIFont"/>
          <w:i/>
          <w:iCs/>
          <w:sz w:val="26"/>
          <w:szCs w:val="26"/>
        </w:rPr>
        <w:t xml:space="preserve">Miller v. Alabama </w:t>
      </w:r>
      <w:r w:rsidRPr="008951E4">
        <w:rPr>
          <w:rFonts w:ascii="Garamond" w:hAnsi="Garamond" w:cs="AppleSystemUIFont"/>
          <w:sz w:val="26"/>
          <w:szCs w:val="26"/>
        </w:rPr>
        <w:t xml:space="preserve">(2012) 567 U.S. 460, 472-473 [prohibiting the mandatory imposition of the sentence of </w:t>
      </w:r>
      <w:r>
        <w:rPr>
          <w:rFonts w:ascii="Garamond" w:hAnsi="Garamond" w:cs="AppleSystemUIFont"/>
          <w:sz w:val="26"/>
          <w:szCs w:val="26"/>
        </w:rPr>
        <w:t>LWOP</w:t>
      </w:r>
      <w:r w:rsidRPr="008951E4">
        <w:rPr>
          <w:rFonts w:ascii="Garamond" w:hAnsi="Garamond" w:cs="AppleSystemUIFont"/>
          <w:sz w:val="26"/>
          <w:szCs w:val="26"/>
        </w:rPr>
        <w:t xml:space="preserve"> </w:t>
      </w:r>
      <w:r>
        <w:rPr>
          <w:rFonts w:ascii="Garamond" w:hAnsi="Garamond" w:cs="AppleSystemUIFont"/>
          <w:sz w:val="26"/>
          <w:szCs w:val="26"/>
        </w:rPr>
        <w:t>o</w:t>
      </w:r>
      <w:r w:rsidRPr="008951E4">
        <w:rPr>
          <w:rFonts w:ascii="Garamond" w:hAnsi="Garamond" w:cs="AppleSystemUIFont"/>
          <w:sz w:val="26"/>
          <w:szCs w:val="26"/>
        </w:rPr>
        <w:t xml:space="preserve">n a juvenile convicted of homicide]; </w:t>
      </w:r>
      <w:r w:rsidRPr="008951E4">
        <w:rPr>
          <w:rFonts w:ascii="Garamond" w:hAnsi="Garamond" w:cs="AppleSystemUIFont"/>
          <w:i/>
          <w:iCs/>
          <w:sz w:val="26"/>
          <w:szCs w:val="26"/>
        </w:rPr>
        <w:t>Roper v. Simmons</w:t>
      </w:r>
      <w:r w:rsidRPr="008951E4">
        <w:rPr>
          <w:rFonts w:ascii="Garamond" w:hAnsi="Garamond" w:cs="AppleSystemUIFont"/>
          <w:sz w:val="26"/>
          <w:szCs w:val="26"/>
        </w:rPr>
        <w:t xml:space="preserve"> (2005) 543 U.S. 551, 569-570 [Court rejected the imposition of the death penalty for a crime committed by a juvenile]; </w:t>
      </w:r>
      <w:r w:rsidRPr="008951E4">
        <w:rPr>
          <w:rFonts w:ascii="Garamond" w:hAnsi="Garamond" w:cs="AppleSystemUIFont"/>
          <w:i/>
          <w:iCs/>
          <w:sz w:val="26"/>
          <w:szCs w:val="26"/>
        </w:rPr>
        <w:t>Graham v. Florida</w:t>
      </w:r>
      <w:r w:rsidRPr="008951E4">
        <w:rPr>
          <w:rFonts w:ascii="Garamond" w:hAnsi="Garamond" w:cs="AppleSystemUIFont"/>
          <w:sz w:val="26"/>
          <w:szCs w:val="26"/>
        </w:rPr>
        <w:t xml:space="preserve"> (2010) 560 U.S. 48, 73-74 [holding that no minor could be sentenced to LWOP for a nonhomicide offense].)</w:t>
      </w:r>
      <w:r w:rsidR="002F4A80">
        <w:rPr>
          <w:rStyle w:val="FootnoteReference"/>
          <w:rFonts w:ascii="Garamond" w:hAnsi="Garamond" w:cs="AppleSystemUIFont"/>
          <w:sz w:val="26"/>
          <w:szCs w:val="26"/>
        </w:rPr>
        <w:footnoteReference w:id="39"/>
      </w:r>
      <w:r w:rsidR="002F4A80">
        <w:rPr>
          <w:rFonts w:ascii="Garamond" w:hAnsi="Garamond" w:cs="AppleSystemUIFont"/>
          <w:sz w:val="26"/>
          <w:szCs w:val="26"/>
        </w:rPr>
        <w:t xml:space="preserve"> </w:t>
      </w:r>
      <w:r>
        <w:rPr>
          <w:rFonts w:ascii="Garamond" w:hAnsi="Garamond" w:cs="AppleSystemUIFont"/>
          <w:sz w:val="26"/>
          <w:szCs w:val="26"/>
        </w:rPr>
        <w:t xml:space="preserve">In all three decisions, the U.S. Supreme Court </w:t>
      </w:r>
      <w:r w:rsidRPr="008951E4">
        <w:rPr>
          <w:rFonts w:ascii="Garamond" w:hAnsi="Garamond" w:cs="AppleSystemUIFont"/>
          <w:sz w:val="26"/>
          <w:szCs w:val="26"/>
        </w:rPr>
        <w:t xml:space="preserve">referenced social science to support its claims. </w:t>
      </w:r>
    </w:p>
    <w:p w14:paraId="78EE439D" w14:textId="77777777" w:rsidR="008F791F" w:rsidRDefault="008F791F" w:rsidP="008F791F">
      <w:pPr>
        <w:rPr>
          <w:rFonts w:ascii="Garamond" w:hAnsi="Garamond" w:cs="AppleSystemUIFont"/>
          <w:sz w:val="26"/>
          <w:szCs w:val="26"/>
        </w:rPr>
      </w:pPr>
      <w:r>
        <w:rPr>
          <w:rFonts w:ascii="Garamond" w:hAnsi="Garamond" w:cs="AppleSystemUIFont"/>
          <w:sz w:val="26"/>
          <w:szCs w:val="26"/>
        </w:rPr>
        <w:t>To summarize the cases’ collective point: “In short, the science is clear that ‘</w:t>
      </w:r>
      <w:r w:rsidRPr="00497F68">
        <w:rPr>
          <w:rFonts w:ascii="Garamond" w:hAnsi="Garamond" w:cs="AppleSystemUIFont"/>
          <w:sz w:val="26"/>
          <w:szCs w:val="26"/>
        </w:rPr>
        <w:t>adolescents are different from adults</w:t>
      </w:r>
      <w:r>
        <w:rPr>
          <w:rFonts w:ascii="Garamond" w:hAnsi="Garamond" w:cs="AppleSystemUIFont"/>
          <w:sz w:val="26"/>
          <w:szCs w:val="26"/>
        </w:rPr>
        <w:t xml:space="preserve">’ and should be treated as such by the courts.” (See </w:t>
      </w:r>
      <w:r w:rsidRPr="00497F68">
        <w:rPr>
          <w:rFonts w:ascii="Garamond" w:hAnsi="Garamond" w:cs="AppleSystemUIFont"/>
          <w:sz w:val="26"/>
          <w:szCs w:val="26"/>
        </w:rPr>
        <w:t>John F. Stinneford</w:t>
      </w:r>
      <w:r>
        <w:rPr>
          <w:rFonts w:ascii="Garamond" w:hAnsi="Garamond" w:cs="AppleSystemUIFont"/>
          <w:sz w:val="26"/>
          <w:szCs w:val="26"/>
        </w:rPr>
        <w:t>,</w:t>
      </w:r>
      <w:r w:rsidRPr="00497F68">
        <w:rPr>
          <w:rFonts w:ascii="Garamond" w:hAnsi="Garamond" w:cs="AppleSystemUIFont"/>
          <w:sz w:val="26"/>
          <w:szCs w:val="26"/>
        </w:rPr>
        <w:t xml:space="preserve"> </w:t>
      </w:r>
      <w:r w:rsidRPr="008951E4">
        <w:rPr>
          <w:rFonts w:ascii="Garamond" w:hAnsi="Garamond" w:cs="AppleSystemUIFont"/>
          <w:i/>
          <w:iCs/>
          <w:sz w:val="26"/>
          <w:szCs w:val="26"/>
        </w:rPr>
        <w:t>Children are Different”: Constitutional Values and Justice Policy</w:t>
      </w:r>
      <w:r w:rsidRPr="00497F68">
        <w:rPr>
          <w:rFonts w:ascii="Garamond" w:hAnsi="Garamond" w:cs="AppleSystemUIFont"/>
          <w:sz w:val="26"/>
          <w:szCs w:val="26"/>
        </w:rPr>
        <w:t>, 11 Ohio St. J. Crim. L. 71, 96</w:t>
      </w:r>
      <w:r>
        <w:rPr>
          <w:rFonts w:ascii="Garamond" w:hAnsi="Garamond" w:cs="AppleSystemUIFont"/>
          <w:sz w:val="26"/>
          <w:szCs w:val="26"/>
        </w:rPr>
        <w:t xml:space="preserve">.)  </w:t>
      </w:r>
    </w:p>
    <w:p w14:paraId="67A4D339" w14:textId="77777777" w:rsidR="008F791F" w:rsidRPr="00200461" w:rsidRDefault="008F791F" w:rsidP="008F791F">
      <w:pPr>
        <w:rPr>
          <w:rFonts w:ascii="Garamond" w:hAnsi="Garamond" w:cs="AppleSystemUIFont"/>
          <w:sz w:val="26"/>
          <w:szCs w:val="26"/>
        </w:rPr>
      </w:pPr>
      <w:r>
        <w:rPr>
          <w:rFonts w:ascii="Garamond" w:hAnsi="Garamond" w:cs="AppleSystemUIFont"/>
          <w:sz w:val="26"/>
          <w:szCs w:val="26"/>
        </w:rPr>
        <w:t xml:space="preserve">Here are some useful quotes: </w:t>
      </w:r>
    </w:p>
    <w:p w14:paraId="39480ED8" w14:textId="77777777" w:rsidR="008F791F" w:rsidRPr="009869B7" w:rsidRDefault="008F791F" w:rsidP="008F791F">
      <w:pPr>
        <w:pStyle w:val="ListParagraph"/>
        <w:numPr>
          <w:ilvl w:val="0"/>
          <w:numId w:val="8"/>
        </w:numPr>
        <w:rPr>
          <w:rFonts w:ascii="Garamond" w:hAnsi="Garamond" w:cs="AppleSystemUIFont"/>
          <w:sz w:val="26"/>
          <w:szCs w:val="26"/>
        </w:rPr>
      </w:pPr>
      <w:r w:rsidRPr="009869B7">
        <w:rPr>
          <w:rFonts w:ascii="Garamond" w:hAnsi="Garamond" w:cs="AppleSystemUIFont"/>
          <w:sz w:val="26"/>
          <w:szCs w:val="26"/>
        </w:rPr>
        <w:t>“[T]he distinctive attributes of youth diminish the penological justifications for imposing the harshest sentences on juvenile offenders, even when they commit terrible crimes. Because ‘[t]he heart of the retribution rationale’ relates to an offender’s blameworthiness, 'the case for retribution is not as strong with a minor as with an adult.’ (</w:t>
      </w:r>
      <w:r w:rsidRPr="009869B7">
        <w:rPr>
          <w:rFonts w:ascii="Garamond" w:hAnsi="Garamond" w:cs="AppleSystemUIFont"/>
          <w:i/>
          <w:iCs/>
          <w:sz w:val="26"/>
          <w:szCs w:val="26"/>
        </w:rPr>
        <w:t>Miller</w:t>
      </w:r>
      <w:r w:rsidRPr="009869B7">
        <w:rPr>
          <w:rFonts w:ascii="Garamond" w:hAnsi="Garamond" w:cs="AppleSystemUIFont"/>
          <w:sz w:val="26"/>
          <w:szCs w:val="26"/>
        </w:rPr>
        <w:t xml:space="preserve">, </w:t>
      </w:r>
      <w:r w:rsidRPr="009869B7">
        <w:rPr>
          <w:rFonts w:ascii="Garamond" w:hAnsi="Garamond" w:cs="AppleSystemUIFont"/>
          <w:i/>
          <w:iCs/>
          <w:sz w:val="26"/>
          <w:szCs w:val="26"/>
        </w:rPr>
        <w:t>supra</w:t>
      </w:r>
      <w:r w:rsidRPr="009869B7">
        <w:rPr>
          <w:rFonts w:ascii="Garamond" w:hAnsi="Garamond" w:cs="AppleSystemUIFont"/>
          <w:sz w:val="26"/>
          <w:szCs w:val="26"/>
        </w:rPr>
        <w:t xml:space="preserve">, 567 U.S. at pp. 472-473, citing </w:t>
      </w:r>
      <w:r w:rsidRPr="009869B7">
        <w:rPr>
          <w:rFonts w:ascii="Garamond" w:hAnsi="Garamond" w:cs="AppleSystemUIFont"/>
          <w:i/>
          <w:iCs/>
          <w:sz w:val="26"/>
          <w:szCs w:val="26"/>
        </w:rPr>
        <w:t>Graham</w:t>
      </w:r>
      <w:r w:rsidRPr="009869B7">
        <w:rPr>
          <w:rFonts w:ascii="Garamond" w:hAnsi="Garamond" w:cs="AppleSystemUIFont"/>
          <w:sz w:val="26"/>
          <w:szCs w:val="26"/>
        </w:rPr>
        <w:t xml:space="preserve">, </w:t>
      </w:r>
      <w:r w:rsidRPr="009869B7">
        <w:rPr>
          <w:rFonts w:ascii="Garamond" w:hAnsi="Garamond" w:cs="AppleSystemUIFont"/>
          <w:i/>
          <w:iCs/>
          <w:sz w:val="26"/>
          <w:szCs w:val="26"/>
        </w:rPr>
        <w:t>supra</w:t>
      </w:r>
      <w:r w:rsidRPr="009869B7">
        <w:rPr>
          <w:rFonts w:ascii="Garamond" w:hAnsi="Garamond" w:cs="AppleSystemUIFont"/>
          <w:sz w:val="26"/>
          <w:szCs w:val="26"/>
        </w:rPr>
        <w:t xml:space="preserve">, 560 U.S. at p. 71, and </w:t>
      </w:r>
      <w:r w:rsidRPr="009869B7">
        <w:rPr>
          <w:rFonts w:ascii="Garamond" w:hAnsi="Garamond" w:cs="AppleSystemUIFont"/>
          <w:i/>
          <w:iCs/>
          <w:sz w:val="26"/>
          <w:szCs w:val="26"/>
        </w:rPr>
        <w:t>Roper</w:t>
      </w:r>
      <w:r w:rsidRPr="009869B7">
        <w:rPr>
          <w:rFonts w:ascii="Garamond" w:hAnsi="Garamond" w:cs="AppleSystemUIFont"/>
          <w:sz w:val="26"/>
          <w:szCs w:val="26"/>
        </w:rPr>
        <w:t xml:space="preserve">, </w:t>
      </w:r>
      <w:r w:rsidRPr="009869B7">
        <w:rPr>
          <w:rFonts w:ascii="Garamond" w:hAnsi="Garamond" w:cs="AppleSystemUIFont"/>
          <w:i/>
          <w:iCs/>
          <w:sz w:val="26"/>
          <w:szCs w:val="26"/>
        </w:rPr>
        <w:t>supra</w:t>
      </w:r>
      <w:r w:rsidRPr="009869B7">
        <w:rPr>
          <w:rFonts w:ascii="Garamond" w:hAnsi="Garamond" w:cs="AppleSystemUIFont"/>
          <w:sz w:val="26"/>
          <w:szCs w:val="26"/>
        </w:rPr>
        <w:t xml:space="preserve">, 543 U.S. at p. 571.) </w:t>
      </w:r>
    </w:p>
    <w:p w14:paraId="1C6E45D8" w14:textId="77777777" w:rsidR="008F791F" w:rsidRPr="009869B7" w:rsidRDefault="008F791F" w:rsidP="008F791F">
      <w:pPr>
        <w:pStyle w:val="ListParagraph"/>
        <w:numPr>
          <w:ilvl w:val="0"/>
          <w:numId w:val="8"/>
        </w:numPr>
        <w:rPr>
          <w:rFonts w:ascii="Garamond" w:hAnsi="Garamond" w:cs="AppleSystemUIFont"/>
          <w:sz w:val="26"/>
          <w:szCs w:val="26"/>
        </w:rPr>
      </w:pPr>
      <w:r w:rsidRPr="009869B7">
        <w:rPr>
          <w:rFonts w:ascii="Garamond" w:hAnsi="Garamond" w:cs="AppleSystemUIFont"/>
          <w:sz w:val="26"/>
          <w:szCs w:val="26"/>
        </w:rPr>
        <w:t xml:space="preserve">“[A]s any parent knows and as the scientific and sociological studies respondent and his amici cite tend to confirm, ‘[a] lack of maturity and an underdeveloped sense of </w:t>
      </w:r>
      <w:r w:rsidRPr="009869B7">
        <w:rPr>
          <w:rFonts w:ascii="Garamond" w:hAnsi="Garamond" w:cs="AppleSystemUIFont"/>
          <w:sz w:val="26"/>
          <w:szCs w:val="26"/>
        </w:rPr>
        <w:lastRenderedPageBreak/>
        <w:t>responsibility are found in youth more often than in adults and are more understandable among the young. These qualities often result in impetuous and ill-considered actions and decisions.’ ” (Citation omitted.) (</w:t>
      </w:r>
      <w:r w:rsidRPr="009869B7">
        <w:rPr>
          <w:rFonts w:ascii="Garamond" w:hAnsi="Garamond" w:cs="AppleSystemUIFont"/>
          <w:bCs/>
          <w:i/>
          <w:iCs/>
          <w:sz w:val="26"/>
          <w:szCs w:val="26"/>
        </w:rPr>
        <w:t>Roper</w:t>
      </w:r>
      <w:r w:rsidRPr="009869B7">
        <w:rPr>
          <w:rFonts w:ascii="Garamond" w:hAnsi="Garamond" w:cs="AppleSystemUIFont"/>
          <w:bCs/>
          <w:sz w:val="26"/>
          <w:szCs w:val="26"/>
        </w:rPr>
        <w:t xml:space="preserve">, </w:t>
      </w:r>
      <w:r w:rsidRPr="009869B7">
        <w:rPr>
          <w:rFonts w:ascii="Garamond" w:hAnsi="Garamond" w:cs="AppleSystemUIFont"/>
          <w:bCs/>
          <w:i/>
          <w:iCs/>
          <w:sz w:val="26"/>
          <w:szCs w:val="26"/>
        </w:rPr>
        <w:t>supra</w:t>
      </w:r>
      <w:r w:rsidRPr="009869B7">
        <w:rPr>
          <w:rFonts w:ascii="Garamond" w:hAnsi="Garamond" w:cs="AppleSystemUIFont"/>
          <w:bCs/>
          <w:sz w:val="26"/>
          <w:szCs w:val="26"/>
        </w:rPr>
        <w:t>, 543 U.S. at pp. 569-570.)</w:t>
      </w:r>
    </w:p>
    <w:p w14:paraId="4D7A2CFC" w14:textId="77777777" w:rsidR="008F791F" w:rsidRPr="009869B7" w:rsidRDefault="008F791F" w:rsidP="008F791F">
      <w:pPr>
        <w:pStyle w:val="ListParagraph"/>
        <w:numPr>
          <w:ilvl w:val="0"/>
          <w:numId w:val="8"/>
        </w:numPr>
        <w:rPr>
          <w:rFonts w:ascii="Garamond" w:hAnsi="Garamond" w:cs="AppleSystemUIFont"/>
          <w:sz w:val="26"/>
          <w:szCs w:val="26"/>
        </w:rPr>
      </w:pPr>
      <w:r w:rsidRPr="009869B7">
        <w:rPr>
          <w:rFonts w:ascii="Garamond" w:hAnsi="Garamond" w:cs="AppleSystemUIFont"/>
          <w:sz w:val="26"/>
          <w:szCs w:val="26"/>
        </w:rPr>
        <w:t xml:space="preserve">“Adolescents are overrepresented statistically in virtually every category of reckless behavior.” Arnett, Reckless Behavior in Adolescence: A Developmental Perspective, 12 Developmental Review 339 (1992). (See </w:t>
      </w:r>
      <w:r w:rsidRPr="009869B7">
        <w:rPr>
          <w:rFonts w:ascii="Garamond" w:hAnsi="Garamond" w:cs="AppleSystemUIFont"/>
          <w:bCs/>
          <w:i/>
          <w:iCs/>
          <w:sz w:val="26"/>
          <w:szCs w:val="26"/>
        </w:rPr>
        <w:t>Roper</w:t>
      </w:r>
      <w:r w:rsidRPr="009869B7">
        <w:rPr>
          <w:rFonts w:ascii="Garamond" w:hAnsi="Garamond" w:cs="AppleSystemUIFont"/>
          <w:bCs/>
          <w:sz w:val="26"/>
          <w:szCs w:val="26"/>
        </w:rPr>
        <w:t xml:space="preserve">, </w:t>
      </w:r>
      <w:r w:rsidRPr="009869B7">
        <w:rPr>
          <w:rFonts w:ascii="Garamond" w:hAnsi="Garamond" w:cs="AppleSystemUIFont"/>
          <w:bCs/>
          <w:i/>
          <w:iCs/>
          <w:sz w:val="26"/>
          <w:szCs w:val="26"/>
        </w:rPr>
        <w:t>supra</w:t>
      </w:r>
      <w:r w:rsidRPr="009869B7">
        <w:rPr>
          <w:rFonts w:ascii="Garamond" w:hAnsi="Garamond" w:cs="AppleSystemUIFont"/>
          <w:bCs/>
          <w:sz w:val="26"/>
          <w:szCs w:val="26"/>
        </w:rPr>
        <w:t>, 543 U.S. at pp. 569-570.)</w:t>
      </w:r>
    </w:p>
    <w:p w14:paraId="631C9E41" w14:textId="77777777" w:rsidR="008F791F" w:rsidRPr="009869B7" w:rsidRDefault="008F791F" w:rsidP="008F791F">
      <w:pPr>
        <w:pStyle w:val="ListParagraph"/>
        <w:numPr>
          <w:ilvl w:val="0"/>
          <w:numId w:val="8"/>
        </w:numPr>
        <w:rPr>
          <w:rFonts w:ascii="Garamond" w:hAnsi="Garamond" w:cs="AppleSystemUIFont"/>
          <w:sz w:val="26"/>
          <w:szCs w:val="26"/>
        </w:rPr>
      </w:pPr>
      <w:r w:rsidRPr="009869B7">
        <w:rPr>
          <w:rFonts w:ascii="Garamond" w:hAnsi="Garamond" w:cs="AppleSystemUIFont"/>
          <w:sz w:val="26"/>
          <w:szCs w:val="26"/>
        </w:rPr>
        <w:t>“[J]uveniles are more vulnerable or susceptible to negative influences and outside pressures, including peer pressure. (Citation) This is explained in part by the prevailing circumstance that juveniles have less control, or less experience with control, over their own environment.” (</w:t>
      </w:r>
      <w:r w:rsidRPr="009869B7">
        <w:rPr>
          <w:rFonts w:ascii="Garamond" w:hAnsi="Garamond" w:cs="AppleSystemUIFont"/>
          <w:bCs/>
          <w:i/>
          <w:iCs/>
          <w:sz w:val="26"/>
          <w:szCs w:val="26"/>
        </w:rPr>
        <w:t>Roper</w:t>
      </w:r>
      <w:r w:rsidRPr="009869B7">
        <w:rPr>
          <w:rFonts w:ascii="Garamond" w:hAnsi="Garamond" w:cs="AppleSystemUIFont"/>
          <w:bCs/>
          <w:sz w:val="26"/>
          <w:szCs w:val="26"/>
        </w:rPr>
        <w:t xml:space="preserve">, </w:t>
      </w:r>
      <w:r w:rsidRPr="009869B7">
        <w:rPr>
          <w:rFonts w:ascii="Garamond" w:hAnsi="Garamond" w:cs="AppleSystemUIFont"/>
          <w:bCs/>
          <w:i/>
          <w:iCs/>
          <w:sz w:val="26"/>
          <w:szCs w:val="26"/>
        </w:rPr>
        <w:t>supra</w:t>
      </w:r>
      <w:r w:rsidRPr="009869B7">
        <w:rPr>
          <w:rFonts w:ascii="Garamond" w:hAnsi="Garamond" w:cs="AppleSystemUIFont"/>
          <w:bCs/>
          <w:sz w:val="26"/>
          <w:szCs w:val="26"/>
        </w:rPr>
        <w:t>, 543 U.S. at pp. 569-570</w:t>
      </w:r>
      <w:r w:rsidRPr="009869B7">
        <w:rPr>
          <w:rFonts w:ascii="Garamond" w:hAnsi="Garamond" w:cs="AppleSystemUIFont"/>
          <w:sz w:val="26"/>
          <w:szCs w:val="26"/>
        </w:rPr>
        <w:t xml:space="preserve">, citing Steinberg &amp; Scott, Less Guilty by Reason of Adolescence: Developmental Immaturity, Diminished Responsibility, and the Juvenile Death Penalty, 58 Am. Psychologist 1009, 1014 (2003) [“as legal minors, [juveniles] lack the freedom that adults have to extricate themselves from a criminogenic setting”; see also </w:t>
      </w:r>
      <w:r w:rsidRPr="009869B7">
        <w:rPr>
          <w:rFonts w:ascii="Garamond" w:hAnsi="Garamond" w:cs="AppleSystemUIFont"/>
          <w:bCs/>
          <w:i/>
          <w:iCs/>
          <w:sz w:val="26"/>
          <w:szCs w:val="26"/>
        </w:rPr>
        <w:t>Eddings v. Okla.</w:t>
      </w:r>
      <w:r w:rsidRPr="009869B7">
        <w:rPr>
          <w:rFonts w:ascii="Garamond" w:hAnsi="Garamond" w:cs="AppleSystemUIFont"/>
          <w:bCs/>
          <w:sz w:val="26"/>
          <w:szCs w:val="26"/>
        </w:rPr>
        <w:t xml:space="preserve"> (1982) 455 U.S. 104, 115-116 [“</w:t>
      </w:r>
      <w:r w:rsidRPr="009869B7">
        <w:rPr>
          <w:rFonts w:ascii="Garamond" w:hAnsi="Garamond" w:cs="AppleSystemUIFont"/>
          <w:sz w:val="26"/>
          <w:szCs w:val="26"/>
        </w:rPr>
        <w:t>But youth is more than a chronological fact. It is a time and condition of life when a person may be most susceptible to influence and to psychological damage. Our history is replete with laws and judicial recognition that minors, especially in their earlier years, generally are less mature and responsible than adults. Particularly ‘during the formative years of childhood and adolescence, minors often lack the experience, perspective, and judgment’ expected of adults”].)</w:t>
      </w:r>
    </w:p>
    <w:p w14:paraId="5BF0143B" w14:textId="77777777" w:rsidR="008F791F" w:rsidRDefault="008F791F" w:rsidP="008F791F">
      <w:pPr>
        <w:rPr>
          <w:rFonts w:ascii="Garamond" w:hAnsi="Garamond" w:cs="AppleSystemUIFont"/>
          <w:sz w:val="26"/>
          <w:szCs w:val="26"/>
        </w:rPr>
      </w:pPr>
      <w:r>
        <w:rPr>
          <w:rFonts w:ascii="Garamond" w:hAnsi="Garamond" w:cs="AppleSystemUIFont"/>
          <w:sz w:val="26"/>
          <w:szCs w:val="26"/>
        </w:rPr>
        <w:t xml:space="preserve">To summarize the critical role of social science in the juvenile analysis, let’s turn to the words of </w:t>
      </w:r>
      <w:r w:rsidRPr="00497F68">
        <w:rPr>
          <w:rFonts w:ascii="Garamond" w:hAnsi="Garamond" w:cs="AppleSystemUIFont"/>
          <w:sz w:val="26"/>
          <w:szCs w:val="26"/>
        </w:rPr>
        <w:t>Justice Kagan</w:t>
      </w:r>
      <w:r>
        <w:rPr>
          <w:rFonts w:ascii="Garamond" w:hAnsi="Garamond" w:cs="AppleSystemUIFont"/>
          <w:sz w:val="26"/>
          <w:szCs w:val="26"/>
        </w:rPr>
        <w:t xml:space="preserve"> in </w:t>
      </w:r>
      <w:r w:rsidRPr="00E674F0">
        <w:rPr>
          <w:rFonts w:ascii="Garamond" w:hAnsi="Garamond" w:cs="AppleSystemUIFont"/>
          <w:i/>
          <w:iCs/>
          <w:sz w:val="26"/>
          <w:szCs w:val="26"/>
        </w:rPr>
        <w:t>Miller</w:t>
      </w:r>
      <w:r>
        <w:rPr>
          <w:rFonts w:ascii="Garamond" w:hAnsi="Garamond" w:cs="AppleSystemUIFont"/>
          <w:sz w:val="26"/>
          <w:szCs w:val="26"/>
        </w:rPr>
        <w:t xml:space="preserve">, </w:t>
      </w:r>
      <w:r w:rsidRPr="00E674F0">
        <w:rPr>
          <w:rFonts w:ascii="Garamond" w:hAnsi="Garamond" w:cs="AppleSystemUIFont"/>
          <w:i/>
          <w:iCs/>
          <w:sz w:val="26"/>
          <w:szCs w:val="26"/>
        </w:rPr>
        <w:t>supra</w:t>
      </w:r>
      <w:r>
        <w:rPr>
          <w:rFonts w:ascii="Garamond" w:hAnsi="Garamond" w:cs="AppleSystemUIFont"/>
          <w:sz w:val="26"/>
          <w:szCs w:val="26"/>
        </w:rPr>
        <w:t xml:space="preserve">, 567 U.S. at pages 471-472: </w:t>
      </w:r>
    </w:p>
    <w:p w14:paraId="2444F580" w14:textId="480A12A9" w:rsidR="008F791F" w:rsidRPr="00A850E7" w:rsidRDefault="008F791F" w:rsidP="00954A2E">
      <w:pPr>
        <w:ind w:left="720"/>
        <w:rPr>
          <w:rFonts w:ascii="Garamond" w:hAnsi="Garamond" w:cs="AppleSystemUIFont"/>
          <w:sz w:val="26"/>
          <w:szCs w:val="26"/>
        </w:rPr>
      </w:pPr>
      <w:r>
        <w:rPr>
          <w:rFonts w:ascii="Garamond" w:hAnsi="Garamond" w:cs="AppleSystemUIFont"/>
          <w:sz w:val="26"/>
          <w:szCs w:val="26"/>
        </w:rPr>
        <w:t>O</w:t>
      </w:r>
      <w:r w:rsidRPr="00A850E7">
        <w:rPr>
          <w:rFonts w:ascii="Garamond" w:hAnsi="Garamond" w:cs="AppleSystemUIFont"/>
          <w:sz w:val="26"/>
          <w:szCs w:val="26"/>
        </w:rPr>
        <w:t>ur decisions rested not only on common sense</w:t>
      </w:r>
      <w:r>
        <w:rPr>
          <w:rFonts w:ascii="Garamond" w:hAnsi="Garamond" w:cs="AppleSystemUIFont"/>
          <w:sz w:val="26"/>
          <w:szCs w:val="26"/>
        </w:rPr>
        <w:t xml:space="preserve"> </w:t>
      </w:r>
      <w:r w:rsidRPr="00A850E7">
        <w:rPr>
          <w:rFonts w:ascii="Garamond" w:hAnsi="Garamond" w:cs="AppleSystemUIFont"/>
          <w:sz w:val="26"/>
          <w:szCs w:val="26"/>
        </w:rPr>
        <w:t>--on what “any parent  knows”--but on science and social science as well</w:t>
      </w:r>
      <w:r>
        <w:rPr>
          <w:rFonts w:ascii="Garamond" w:hAnsi="Garamond" w:cs="AppleSystemUIFont"/>
          <w:sz w:val="26"/>
          <w:szCs w:val="26"/>
        </w:rPr>
        <w:t xml:space="preserve"> . . . </w:t>
      </w:r>
      <w:r w:rsidRPr="00A850E7">
        <w:rPr>
          <w:rFonts w:ascii="Garamond" w:hAnsi="Garamond" w:cs="AppleSystemUIFont"/>
          <w:sz w:val="26"/>
          <w:szCs w:val="26"/>
        </w:rPr>
        <w:t xml:space="preserve">In </w:t>
      </w:r>
      <w:r w:rsidRPr="00E674F0">
        <w:rPr>
          <w:rFonts w:ascii="Garamond" w:hAnsi="Garamond" w:cs="AppleSystemUIFont"/>
          <w:i/>
          <w:iCs/>
          <w:sz w:val="26"/>
          <w:szCs w:val="26"/>
        </w:rPr>
        <w:t>Roper</w:t>
      </w:r>
      <w:r w:rsidRPr="00A850E7">
        <w:rPr>
          <w:rFonts w:ascii="Garamond" w:hAnsi="Garamond" w:cs="AppleSystemUIFont"/>
          <w:sz w:val="26"/>
          <w:szCs w:val="26"/>
        </w:rPr>
        <w:t xml:space="preserve">, we cited studies showing that “ '[o]nly a relatively small proportion of adolescents' ” who engage in illegal activity “ 'develop entrenched patterns of problem behavior.' </w:t>
      </w:r>
      <w:r>
        <w:rPr>
          <w:rFonts w:ascii="Garamond" w:hAnsi="Garamond" w:cs="AppleSystemUIFont"/>
          <w:sz w:val="26"/>
          <w:szCs w:val="26"/>
        </w:rPr>
        <w:t>(Citation)</w:t>
      </w:r>
      <w:r w:rsidRPr="00A850E7">
        <w:rPr>
          <w:rFonts w:ascii="Garamond" w:hAnsi="Garamond" w:cs="AppleSystemUIFont"/>
          <w:sz w:val="26"/>
          <w:szCs w:val="26"/>
        </w:rPr>
        <w:t xml:space="preserve"> And in </w:t>
      </w:r>
      <w:r w:rsidRPr="00E674F0">
        <w:rPr>
          <w:rFonts w:ascii="Garamond" w:hAnsi="Garamond" w:cs="AppleSystemUIFont"/>
          <w:i/>
          <w:iCs/>
          <w:sz w:val="26"/>
          <w:szCs w:val="26"/>
        </w:rPr>
        <w:t>Graham</w:t>
      </w:r>
      <w:r w:rsidRPr="00A850E7">
        <w:rPr>
          <w:rFonts w:ascii="Garamond" w:hAnsi="Garamond" w:cs="AppleSystemUIFont"/>
          <w:sz w:val="26"/>
          <w:szCs w:val="26"/>
        </w:rPr>
        <w:t xml:space="preserve">, we noted that “developments in psychology and brain science continue to show fundamental differences between juvenile and adult minds”--for example, in “parts of the brain involved in behavior control.” </w:t>
      </w:r>
      <w:r>
        <w:rPr>
          <w:rFonts w:ascii="Garamond" w:hAnsi="Garamond" w:cs="AppleSystemUIFont"/>
          <w:sz w:val="26"/>
          <w:szCs w:val="26"/>
        </w:rPr>
        <w:t>(Citation)</w:t>
      </w:r>
      <w:r w:rsidRPr="00A850E7">
        <w:rPr>
          <w:rFonts w:ascii="Garamond" w:hAnsi="Garamond" w:cs="AppleSystemUIFont"/>
          <w:sz w:val="26"/>
          <w:szCs w:val="26"/>
        </w:rPr>
        <w:t xml:space="preserve"> We reasoned that those findings--of transient rashness, proclivity for  risk, and inability to assess consequences--both lessened a child's “moral culpability” and enhanced the prospect that, as the years go by and neurological development occurs, his “ </w:t>
      </w:r>
      <w:r>
        <w:rPr>
          <w:rFonts w:ascii="Garamond" w:hAnsi="Garamond" w:cs="AppleSystemUIFont"/>
          <w:sz w:val="26"/>
          <w:szCs w:val="26"/>
        </w:rPr>
        <w:t>‘</w:t>
      </w:r>
      <w:r w:rsidRPr="00A850E7">
        <w:rPr>
          <w:rFonts w:ascii="Garamond" w:hAnsi="Garamond" w:cs="AppleSystemUIFont"/>
          <w:sz w:val="26"/>
          <w:szCs w:val="26"/>
        </w:rPr>
        <w:t>deficiencies will be reformed.</w:t>
      </w:r>
      <w:r>
        <w:rPr>
          <w:rFonts w:ascii="Garamond" w:hAnsi="Garamond" w:cs="AppleSystemUIFont"/>
          <w:sz w:val="26"/>
          <w:szCs w:val="26"/>
        </w:rPr>
        <w:t xml:space="preserve">’” </w:t>
      </w:r>
      <w:r>
        <w:rPr>
          <w:rStyle w:val="FootnoteReference"/>
          <w:rFonts w:ascii="Garamond" w:hAnsi="Garamond" w:cs="AppleSystemUIFont"/>
          <w:sz w:val="26"/>
          <w:szCs w:val="26"/>
        </w:rPr>
        <w:footnoteReference w:id="40"/>
      </w:r>
    </w:p>
    <w:p w14:paraId="048AEFB8" w14:textId="77777777" w:rsidR="008F791F" w:rsidRPr="00497F68" w:rsidRDefault="008F791F" w:rsidP="008F791F">
      <w:pPr>
        <w:rPr>
          <w:rFonts w:ascii="Garamond" w:hAnsi="Garamond" w:cs="AppleSystemUIFont"/>
          <w:sz w:val="26"/>
          <w:szCs w:val="26"/>
        </w:rPr>
      </w:pPr>
      <w:r>
        <w:rPr>
          <w:rFonts w:ascii="Garamond" w:hAnsi="Garamond" w:cs="AppleSystemUIFont"/>
          <w:sz w:val="26"/>
          <w:szCs w:val="26"/>
        </w:rPr>
        <w:lastRenderedPageBreak/>
        <w:t>For appellate practitioners out there, let’s get specific:</w:t>
      </w:r>
    </w:p>
    <w:p w14:paraId="611B0C81" w14:textId="5A644084" w:rsidR="008F791F" w:rsidRPr="00B0643B" w:rsidRDefault="008F791F" w:rsidP="00452D39">
      <w:pPr>
        <w:rPr>
          <w:rFonts w:ascii="Garamond" w:hAnsi="Garamond" w:cs="AppleSystemUIFont"/>
          <w:b/>
          <w:bCs/>
          <w:sz w:val="26"/>
          <w:szCs w:val="26"/>
        </w:rPr>
      </w:pPr>
      <w:r w:rsidRPr="00B0643B">
        <w:rPr>
          <w:rFonts w:ascii="Garamond" w:hAnsi="Garamond" w:cs="AppleSystemUIFont"/>
          <w:b/>
          <w:bCs/>
          <w:sz w:val="26"/>
          <w:szCs w:val="26"/>
        </w:rPr>
        <w:t>A.</w:t>
      </w:r>
      <w:r w:rsidR="00AD18AA">
        <w:rPr>
          <w:rFonts w:ascii="Garamond" w:hAnsi="Garamond" w:cs="AppleSystemUIFont"/>
          <w:b/>
          <w:bCs/>
          <w:sz w:val="26"/>
          <w:szCs w:val="26"/>
        </w:rPr>
        <w:tab/>
      </w:r>
      <w:r w:rsidRPr="00B0643B">
        <w:rPr>
          <w:rFonts w:ascii="Garamond" w:hAnsi="Garamond" w:cs="AppleSystemUIFont"/>
          <w:b/>
          <w:bCs/>
          <w:sz w:val="26"/>
          <w:szCs w:val="26"/>
        </w:rPr>
        <w:t xml:space="preserve">Juveniles and </w:t>
      </w:r>
      <w:r w:rsidRPr="00954A2E">
        <w:rPr>
          <w:rFonts w:ascii="Garamond" w:hAnsi="Garamond" w:cs="AppleSystemUIFont"/>
          <w:b/>
          <w:bCs/>
          <w:i/>
          <w:sz w:val="26"/>
          <w:szCs w:val="26"/>
        </w:rPr>
        <w:t>Miranda</w:t>
      </w:r>
      <w:r w:rsidRPr="00B0643B">
        <w:rPr>
          <w:rFonts w:ascii="Garamond" w:hAnsi="Garamond" w:cs="AppleSystemUIFont"/>
          <w:b/>
          <w:bCs/>
          <w:sz w:val="26"/>
          <w:szCs w:val="26"/>
        </w:rPr>
        <w:t xml:space="preserve"> Warnings</w:t>
      </w:r>
    </w:p>
    <w:p w14:paraId="65BBA693" w14:textId="22CA3A61" w:rsidR="008F791F" w:rsidRPr="00615E9A" w:rsidRDefault="008F791F" w:rsidP="008F791F">
      <w:pPr>
        <w:rPr>
          <w:rFonts w:ascii="Garamond" w:hAnsi="Garamond" w:cs="AppleSystemUIFont"/>
          <w:sz w:val="26"/>
          <w:szCs w:val="26"/>
        </w:rPr>
      </w:pPr>
      <w:r w:rsidRPr="00615E9A">
        <w:rPr>
          <w:rFonts w:ascii="Garamond" w:hAnsi="Garamond" w:cs="AppleSystemUIFont"/>
          <w:sz w:val="26"/>
          <w:szCs w:val="26"/>
        </w:rPr>
        <w:t xml:space="preserve">As is well established, an appellate court’s review of the validity of a waiver of </w:t>
      </w:r>
      <w:r w:rsidR="00072A8A">
        <w:rPr>
          <w:rFonts w:ascii="Garamond" w:hAnsi="Garamond" w:cs="AppleSystemUIFont"/>
          <w:sz w:val="26"/>
          <w:szCs w:val="26"/>
        </w:rPr>
        <w:t xml:space="preserve">a </w:t>
      </w:r>
      <w:r w:rsidRPr="00615E9A">
        <w:rPr>
          <w:rFonts w:ascii="Garamond" w:hAnsi="Garamond" w:cs="AppleSystemUIFont"/>
          <w:sz w:val="26"/>
          <w:szCs w:val="26"/>
        </w:rPr>
        <w:t xml:space="preserve">juvenile’s </w:t>
      </w:r>
      <w:r w:rsidRPr="00615E9A">
        <w:rPr>
          <w:rFonts w:ascii="Garamond" w:hAnsi="Garamond" w:cs="AppleSystemUIFont"/>
          <w:i/>
          <w:iCs/>
          <w:sz w:val="26"/>
          <w:szCs w:val="26"/>
        </w:rPr>
        <w:t>Miranda</w:t>
      </w:r>
      <w:r w:rsidRPr="00615E9A">
        <w:rPr>
          <w:rFonts w:ascii="Garamond" w:hAnsi="Garamond" w:cs="AppleSystemUIFont"/>
          <w:sz w:val="26"/>
          <w:szCs w:val="26"/>
        </w:rPr>
        <w:t xml:space="preserve"> rights must consider the juvenile’s age, experience with police, education, intelligence, and race in determining whether they validly waived their rights under </w:t>
      </w:r>
      <w:r w:rsidRPr="00615E9A">
        <w:rPr>
          <w:rFonts w:ascii="Garamond" w:hAnsi="Garamond" w:cs="AppleSystemUIFont"/>
          <w:i/>
          <w:iCs/>
          <w:sz w:val="26"/>
          <w:szCs w:val="26"/>
        </w:rPr>
        <w:t>Miranda</w:t>
      </w:r>
      <w:r w:rsidRPr="00615E9A">
        <w:rPr>
          <w:rFonts w:ascii="Garamond" w:hAnsi="Garamond" w:cs="AppleSystemUIFont"/>
          <w:sz w:val="26"/>
          <w:szCs w:val="26"/>
        </w:rPr>
        <w:t xml:space="preserve">, and whether they understood the consequences of waiving those rights. (See </w:t>
      </w:r>
      <w:r w:rsidRPr="00615E9A">
        <w:rPr>
          <w:rFonts w:ascii="Garamond" w:hAnsi="Garamond" w:cs="AppleSystemUIFont"/>
          <w:i/>
          <w:iCs/>
          <w:sz w:val="26"/>
          <w:szCs w:val="26"/>
        </w:rPr>
        <w:t>People v. Lessie</w:t>
      </w:r>
      <w:r w:rsidRPr="00615E9A">
        <w:rPr>
          <w:rFonts w:ascii="Garamond" w:hAnsi="Garamond" w:cs="AppleSystemUIFont"/>
          <w:sz w:val="26"/>
          <w:szCs w:val="26"/>
        </w:rPr>
        <w:t xml:space="preserve"> (2010) 47 Cal.4th 1152, 1169.)</w:t>
      </w:r>
    </w:p>
    <w:p w14:paraId="6AF23CF3" w14:textId="77777777" w:rsidR="008F791F" w:rsidRPr="00615E9A" w:rsidRDefault="008F791F" w:rsidP="008F791F">
      <w:pPr>
        <w:rPr>
          <w:rFonts w:ascii="Garamond" w:hAnsi="Garamond" w:cs="AppleSystemUIFont"/>
          <w:sz w:val="26"/>
          <w:szCs w:val="26"/>
        </w:rPr>
      </w:pPr>
      <w:r w:rsidRPr="00615E9A">
        <w:rPr>
          <w:rFonts w:ascii="Garamond" w:hAnsi="Garamond" w:cs="AppleSystemUIFont"/>
          <w:sz w:val="26"/>
          <w:szCs w:val="26"/>
        </w:rPr>
        <w:t xml:space="preserve">The critical case to review in this context is </w:t>
      </w:r>
      <w:r w:rsidRPr="00615E9A">
        <w:rPr>
          <w:rFonts w:ascii="Garamond" w:hAnsi="Garamond" w:cs="AppleSystemUIFont"/>
          <w:i/>
          <w:iCs/>
          <w:sz w:val="26"/>
          <w:szCs w:val="26"/>
        </w:rPr>
        <w:t>In re Elias V.</w:t>
      </w:r>
      <w:r w:rsidRPr="00615E9A">
        <w:rPr>
          <w:rFonts w:ascii="Garamond" w:hAnsi="Garamond" w:cs="AppleSystemUIFont"/>
          <w:sz w:val="26"/>
          <w:szCs w:val="26"/>
        </w:rPr>
        <w:t xml:space="preserve"> (2015) 237 Cal.App.4th 568. In </w:t>
      </w:r>
      <w:r w:rsidRPr="00615E9A">
        <w:rPr>
          <w:rFonts w:ascii="Garamond" w:hAnsi="Garamond" w:cs="AppleSystemUIFont"/>
          <w:i/>
          <w:iCs/>
          <w:sz w:val="26"/>
          <w:szCs w:val="26"/>
        </w:rPr>
        <w:t>Elias V.</w:t>
      </w:r>
      <w:r w:rsidRPr="00615E9A">
        <w:rPr>
          <w:rFonts w:ascii="Garamond" w:hAnsi="Garamond" w:cs="AppleSystemUIFont"/>
          <w:sz w:val="26"/>
          <w:szCs w:val="26"/>
        </w:rPr>
        <w:t>, two police detectives went to 13-year-old Elias’ school to question him about a sexual assault. (</w:t>
      </w:r>
      <w:r w:rsidRPr="00615E9A">
        <w:rPr>
          <w:rFonts w:ascii="Garamond" w:hAnsi="Garamond" w:cs="AppleSystemUIFont"/>
          <w:i/>
          <w:iCs/>
          <w:sz w:val="26"/>
          <w:szCs w:val="26"/>
        </w:rPr>
        <w:t>Id</w:t>
      </w:r>
      <w:r w:rsidRPr="00615E9A">
        <w:rPr>
          <w:rFonts w:ascii="Garamond" w:hAnsi="Garamond" w:cs="AppleSystemUIFont"/>
          <w:sz w:val="26"/>
          <w:szCs w:val="26"/>
        </w:rPr>
        <w:t>. at p. 574.) Elias had no prior contacts with police. (</w:t>
      </w:r>
      <w:r w:rsidRPr="00615E9A">
        <w:rPr>
          <w:rFonts w:ascii="Garamond" w:hAnsi="Garamond" w:cs="AppleSystemUIFont"/>
          <w:i/>
          <w:iCs/>
          <w:sz w:val="26"/>
          <w:szCs w:val="26"/>
        </w:rPr>
        <w:t>Ibid</w:t>
      </w:r>
      <w:r w:rsidRPr="00615E9A">
        <w:rPr>
          <w:rFonts w:ascii="Garamond" w:hAnsi="Garamond" w:cs="AppleSystemUIFont"/>
          <w:sz w:val="26"/>
          <w:szCs w:val="26"/>
        </w:rPr>
        <w:t>.) The interrogation lasted less than 30 minutes. (</w:t>
      </w:r>
      <w:r w:rsidRPr="00615E9A">
        <w:rPr>
          <w:rFonts w:ascii="Garamond" w:hAnsi="Garamond" w:cs="AppleSystemUIFont"/>
          <w:i/>
          <w:iCs/>
          <w:sz w:val="26"/>
          <w:szCs w:val="26"/>
        </w:rPr>
        <w:t>Ibid</w:t>
      </w:r>
      <w:r w:rsidRPr="00615E9A">
        <w:rPr>
          <w:rFonts w:ascii="Garamond" w:hAnsi="Garamond" w:cs="AppleSystemUIFont"/>
          <w:sz w:val="26"/>
          <w:szCs w:val="26"/>
        </w:rPr>
        <w:t>.) During the interrogation, the detective repeatedly accused Elias of sexual assault, and Elias repeatedly denied it. (</w:t>
      </w:r>
      <w:r w:rsidRPr="00615E9A">
        <w:rPr>
          <w:rFonts w:ascii="Garamond" w:hAnsi="Garamond" w:cs="AppleSystemUIFont"/>
          <w:i/>
          <w:iCs/>
          <w:sz w:val="26"/>
          <w:szCs w:val="26"/>
        </w:rPr>
        <w:t>Id</w:t>
      </w:r>
      <w:r w:rsidRPr="00615E9A">
        <w:rPr>
          <w:rFonts w:ascii="Garamond" w:hAnsi="Garamond" w:cs="AppleSystemUIFont"/>
          <w:sz w:val="26"/>
          <w:szCs w:val="26"/>
        </w:rPr>
        <w:t>. at pp. 574-575.) Finally, Elias admitted to touching the victim out of curiosity. (</w:t>
      </w:r>
      <w:r w:rsidRPr="00615E9A">
        <w:rPr>
          <w:rFonts w:ascii="Garamond" w:hAnsi="Garamond" w:cs="AppleSystemUIFont"/>
          <w:i/>
          <w:iCs/>
          <w:sz w:val="26"/>
          <w:szCs w:val="26"/>
        </w:rPr>
        <w:t>Id</w:t>
      </w:r>
      <w:r w:rsidRPr="00615E9A">
        <w:rPr>
          <w:rFonts w:ascii="Garamond" w:hAnsi="Garamond" w:cs="AppleSystemUIFont"/>
          <w:sz w:val="26"/>
          <w:szCs w:val="26"/>
        </w:rPr>
        <w:t>. at p. 575.) Based primarily on the interrogation techniques employed by the detective, the appellate court held that the confession was involuntary under the Fourteenth Amendment.  (</w:t>
      </w:r>
      <w:r w:rsidRPr="00615E9A">
        <w:rPr>
          <w:rFonts w:ascii="Garamond" w:hAnsi="Garamond" w:cs="AppleSystemUIFont"/>
          <w:i/>
          <w:iCs/>
          <w:sz w:val="26"/>
          <w:szCs w:val="26"/>
        </w:rPr>
        <w:t>Elias V.</w:t>
      </w:r>
      <w:r w:rsidRPr="00615E9A">
        <w:rPr>
          <w:rFonts w:ascii="Garamond" w:hAnsi="Garamond" w:cs="AppleSystemUIFont"/>
          <w:sz w:val="26"/>
          <w:szCs w:val="26"/>
        </w:rPr>
        <w:t xml:space="preserve">, </w:t>
      </w:r>
      <w:r w:rsidRPr="00615E9A">
        <w:rPr>
          <w:rFonts w:ascii="Garamond" w:hAnsi="Garamond" w:cs="AppleSystemUIFont"/>
          <w:i/>
          <w:iCs/>
          <w:sz w:val="26"/>
          <w:szCs w:val="26"/>
        </w:rPr>
        <w:t>supra</w:t>
      </w:r>
      <w:r w:rsidRPr="00615E9A">
        <w:rPr>
          <w:rFonts w:ascii="Garamond" w:hAnsi="Garamond" w:cs="AppleSystemUIFont"/>
          <w:sz w:val="26"/>
          <w:szCs w:val="26"/>
        </w:rPr>
        <w:t xml:space="preserve">, 237 Cal.App.4th at pp. 581-597, 600.) The </w:t>
      </w:r>
      <w:r w:rsidRPr="00615E9A">
        <w:rPr>
          <w:rFonts w:ascii="Garamond" w:hAnsi="Garamond" w:cs="AppleSystemUIFont"/>
          <w:i/>
          <w:iCs/>
          <w:sz w:val="26"/>
          <w:szCs w:val="26"/>
        </w:rPr>
        <w:t xml:space="preserve">Elias V. </w:t>
      </w:r>
      <w:r w:rsidRPr="00615E9A">
        <w:rPr>
          <w:rFonts w:ascii="Garamond" w:hAnsi="Garamond" w:cs="AppleSystemUIFont"/>
          <w:sz w:val="26"/>
          <w:szCs w:val="26"/>
        </w:rPr>
        <w:t xml:space="preserve">court incorporated developmental research into its conclusions.  </w:t>
      </w:r>
    </w:p>
    <w:p w14:paraId="6A193787" w14:textId="6BBE6284" w:rsidR="008F791F" w:rsidRPr="00615E9A" w:rsidRDefault="00AD18AA" w:rsidP="00AD18AA">
      <w:pPr>
        <w:ind w:firstLine="720"/>
        <w:rPr>
          <w:rFonts w:ascii="Garamond" w:hAnsi="Garamond" w:cs="AppleSystemUIFont"/>
          <w:b/>
          <w:bCs/>
          <w:sz w:val="26"/>
          <w:szCs w:val="26"/>
        </w:rPr>
      </w:pPr>
      <w:r>
        <w:rPr>
          <w:rFonts w:ascii="Garamond" w:hAnsi="Garamond" w:cs="AppleSystemUIFont"/>
          <w:b/>
          <w:bCs/>
          <w:sz w:val="26"/>
          <w:szCs w:val="26"/>
        </w:rPr>
        <w:t>1.</w:t>
      </w:r>
      <w:r>
        <w:rPr>
          <w:rFonts w:ascii="Garamond" w:hAnsi="Garamond" w:cs="AppleSystemUIFont"/>
          <w:b/>
          <w:bCs/>
          <w:sz w:val="26"/>
          <w:szCs w:val="26"/>
        </w:rPr>
        <w:tab/>
      </w:r>
      <w:r w:rsidR="008F791F">
        <w:rPr>
          <w:rFonts w:ascii="Garamond" w:hAnsi="Garamond" w:cs="AppleSystemUIFont"/>
          <w:b/>
          <w:bCs/>
          <w:sz w:val="26"/>
          <w:szCs w:val="26"/>
        </w:rPr>
        <w:t xml:space="preserve">Proper advisement of a juveniles </w:t>
      </w:r>
      <w:r w:rsidR="008F791F" w:rsidRPr="00970D4C">
        <w:rPr>
          <w:rFonts w:ascii="Garamond" w:hAnsi="Garamond" w:cs="AppleSystemUIFont"/>
          <w:b/>
          <w:bCs/>
          <w:i/>
          <w:iCs/>
          <w:sz w:val="26"/>
          <w:szCs w:val="26"/>
        </w:rPr>
        <w:t>Miranda</w:t>
      </w:r>
      <w:r w:rsidR="00954A2E">
        <w:rPr>
          <w:rFonts w:ascii="Garamond" w:hAnsi="Garamond" w:cs="AppleSystemUIFont"/>
          <w:b/>
          <w:bCs/>
          <w:sz w:val="26"/>
          <w:szCs w:val="26"/>
        </w:rPr>
        <w:t xml:space="preserve"> rights</w:t>
      </w:r>
    </w:p>
    <w:p w14:paraId="64741C9E" w14:textId="77777777" w:rsidR="008F791F" w:rsidRPr="00615E9A" w:rsidRDefault="008F791F" w:rsidP="008F791F">
      <w:pPr>
        <w:rPr>
          <w:rFonts w:ascii="Garamond" w:hAnsi="Garamond" w:cs="AppleSystemUIFont"/>
          <w:sz w:val="26"/>
          <w:szCs w:val="26"/>
        </w:rPr>
      </w:pPr>
      <w:r>
        <w:rPr>
          <w:rFonts w:ascii="Garamond" w:hAnsi="Garamond" w:cs="AppleSystemUIFont"/>
          <w:sz w:val="26"/>
          <w:szCs w:val="26"/>
        </w:rPr>
        <w:t>Juveniles</w:t>
      </w:r>
      <w:r w:rsidRPr="00615E9A">
        <w:rPr>
          <w:rFonts w:ascii="Garamond" w:hAnsi="Garamond" w:cs="AppleSystemUIFont"/>
          <w:sz w:val="26"/>
          <w:szCs w:val="26"/>
        </w:rPr>
        <w:t xml:space="preserve"> are much more vulnerable in dealings with police officers than adults. (</w:t>
      </w:r>
      <w:r w:rsidRPr="00615E9A">
        <w:rPr>
          <w:rFonts w:ascii="Garamond" w:hAnsi="Garamond" w:cs="AppleSystemUIFont"/>
          <w:i/>
          <w:iCs/>
          <w:sz w:val="26"/>
          <w:szCs w:val="26"/>
        </w:rPr>
        <w:t>Elias V.</w:t>
      </w:r>
      <w:r w:rsidRPr="00615E9A">
        <w:rPr>
          <w:rFonts w:ascii="Garamond" w:hAnsi="Garamond" w:cs="AppleSystemUIFont"/>
          <w:sz w:val="26"/>
          <w:szCs w:val="26"/>
        </w:rPr>
        <w:t xml:space="preserve">, </w:t>
      </w:r>
      <w:r w:rsidRPr="00615E9A">
        <w:rPr>
          <w:rFonts w:ascii="Garamond" w:hAnsi="Garamond" w:cs="AppleSystemUIFont"/>
          <w:i/>
          <w:iCs/>
          <w:sz w:val="26"/>
          <w:szCs w:val="26"/>
        </w:rPr>
        <w:t>supra</w:t>
      </w:r>
      <w:r w:rsidRPr="00615E9A">
        <w:rPr>
          <w:rFonts w:ascii="Garamond" w:hAnsi="Garamond" w:cs="AppleSystemUIFont"/>
          <w:sz w:val="26"/>
          <w:szCs w:val="26"/>
        </w:rPr>
        <w:t>, 237 Cal.App.4th at p. 588.</w:t>
      </w:r>
      <w:r>
        <w:rPr>
          <w:rFonts w:ascii="Garamond" w:hAnsi="Garamond" w:cs="AppleSystemUIFont"/>
          <w:sz w:val="26"/>
          <w:szCs w:val="26"/>
        </w:rPr>
        <w:t>)</w:t>
      </w:r>
      <w:r w:rsidRPr="00615E9A">
        <w:rPr>
          <w:rFonts w:ascii="Garamond" w:hAnsi="Garamond" w:cs="AppleSystemUIFont"/>
          <w:sz w:val="26"/>
          <w:szCs w:val="26"/>
        </w:rPr>
        <w:t xml:space="preserve"> Thus, police officers must take special caution to ensure that a juvenile suspect clearly understands each of </w:t>
      </w:r>
      <w:r>
        <w:rPr>
          <w:rFonts w:ascii="Garamond" w:hAnsi="Garamond" w:cs="AppleSystemUIFont"/>
          <w:sz w:val="26"/>
          <w:szCs w:val="26"/>
        </w:rPr>
        <w:t>their</w:t>
      </w:r>
      <w:r w:rsidRPr="00615E9A">
        <w:rPr>
          <w:rFonts w:ascii="Garamond" w:hAnsi="Garamond" w:cs="AppleSystemUIFont"/>
          <w:sz w:val="26"/>
          <w:szCs w:val="26"/>
        </w:rPr>
        <w:t xml:space="preserve"> rights under </w:t>
      </w:r>
      <w:r w:rsidRPr="00615E9A">
        <w:rPr>
          <w:rFonts w:ascii="Garamond" w:hAnsi="Garamond" w:cs="AppleSystemUIFont"/>
          <w:i/>
          <w:iCs/>
          <w:sz w:val="26"/>
          <w:szCs w:val="26"/>
        </w:rPr>
        <w:t>Miranda</w:t>
      </w:r>
      <w:r w:rsidRPr="00615E9A">
        <w:rPr>
          <w:rFonts w:ascii="Garamond" w:hAnsi="Garamond" w:cs="AppleSystemUIFont"/>
          <w:sz w:val="26"/>
          <w:szCs w:val="26"/>
        </w:rPr>
        <w:t xml:space="preserve">. (See generally </w:t>
      </w:r>
      <w:r w:rsidRPr="00B831CA">
        <w:rPr>
          <w:rFonts w:ascii="Garamond" w:hAnsi="Garamond" w:cs="AppleSystemUIFont"/>
          <w:i/>
          <w:iCs/>
          <w:sz w:val="26"/>
          <w:szCs w:val="26"/>
        </w:rPr>
        <w:t>In re Gault</w:t>
      </w:r>
      <w:r w:rsidRPr="00615E9A">
        <w:rPr>
          <w:rFonts w:ascii="Garamond" w:hAnsi="Garamond" w:cs="AppleSystemUIFont"/>
          <w:sz w:val="26"/>
          <w:szCs w:val="26"/>
        </w:rPr>
        <w:t xml:space="preserve"> (1967) 387 U.S. 1, 45.) Indeed, taking the time to make sure that the juvenile understood their rights is an established factor</w:t>
      </w:r>
      <w:r>
        <w:rPr>
          <w:rFonts w:ascii="Garamond" w:hAnsi="Garamond" w:cs="AppleSystemUIFont"/>
          <w:sz w:val="26"/>
          <w:szCs w:val="26"/>
        </w:rPr>
        <w:t xml:space="preserve"> in the voluntariness analysis.</w:t>
      </w:r>
      <w:r w:rsidRPr="00615E9A">
        <w:rPr>
          <w:rFonts w:ascii="Garamond" w:hAnsi="Garamond" w:cs="AppleSystemUIFont"/>
          <w:sz w:val="26"/>
          <w:szCs w:val="26"/>
        </w:rPr>
        <w:t xml:space="preserve"> </w:t>
      </w:r>
      <w:r>
        <w:rPr>
          <w:rFonts w:ascii="Garamond" w:hAnsi="Garamond" w:cs="AppleSystemUIFont"/>
          <w:sz w:val="26"/>
          <w:szCs w:val="26"/>
        </w:rPr>
        <w:t>(</w:t>
      </w:r>
      <w:r w:rsidRPr="00615E9A">
        <w:rPr>
          <w:rFonts w:ascii="Garamond" w:hAnsi="Garamond" w:cs="AppleSystemUIFont"/>
          <w:sz w:val="26"/>
          <w:szCs w:val="26"/>
        </w:rPr>
        <w:t xml:space="preserve">See </w:t>
      </w:r>
      <w:r w:rsidRPr="00B831CA">
        <w:rPr>
          <w:rFonts w:ascii="Garamond" w:hAnsi="Garamond" w:cs="AppleSystemUIFont"/>
          <w:i/>
          <w:iCs/>
          <w:sz w:val="26"/>
          <w:szCs w:val="26"/>
        </w:rPr>
        <w:t>Lessie</w:t>
      </w:r>
      <w:r w:rsidRPr="00615E9A">
        <w:rPr>
          <w:rFonts w:ascii="Garamond" w:hAnsi="Garamond" w:cs="AppleSystemUIFont"/>
          <w:sz w:val="26"/>
          <w:szCs w:val="26"/>
        </w:rPr>
        <w:t xml:space="preserve">, </w:t>
      </w:r>
      <w:r w:rsidRPr="00B831CA">
        <w:rPr>
          <w:rFonts w:ascii="Garamond" w:hAnsi="Garamond" w:cs="AppleSystemUIFont"/>
          <w:i/>
          <w:iCs/>
          <w:sz w:val="26"/>
          <w:szCs w:val="26"/>
        </w:rPr>
        <w:t>supra</w:t>
      </w:r>
      <w:r w:rsidRPr="00615E9A">
        <w:rPr>
          <w:rFonts w:ascii="Garamond" w:hAnsi="Garamond" w:cs="AppleSystemUIFont"/>
          <w:sz w:val="26"/>
          <w:szCs w:val="26"/>
        </w:rPr>
        <w:t xml:space="preserve">, 47 Cal.4th at p. 1169 [interrogating officer took care to advise the juvenile of each of their </w:t>
      </w:r>
      <w:r w:rsidRPr="00615E9A">
        <w:rPr>
          <w:rFonts w:ascii="Garamond" w:hAnsi="Garamond" w:cs="AppleSystemUIFont"/>
          <w:i/>
          <w:iCs/>
          <w:sz w:val="26"/>
          <w:szCs w:val="26"/>
        </w:rPr>
        <w:t>Miranda</w:t>
      </w:r>
      <w:r w:rsidRPr="00615E9A">
        <w:rPr>
          <w:rFonts w:ascii="Garamond" w:hAnsi="Garamond" w:cs="AppleSystemUIFont"/>
          <w:sz w:val="26"/>
          <w:szCs w:val="26"/>
        </w:rPr>
        <w:t xml:space="preserve"> rights specifically ascertained that the juvenile understood those rights]; </w:t>
      </w:r>
      <w:r w:rsidRPr="00B831CA">
        <w:rPr>
          <w:rFonts w:ascii="Garamond" w:hAnsi="Garamond" w:cs="AppleSystemUIFont"/>
          <w:i/>
          <w:iCs/>
          <w:sz w:val="26"/>
          <w:szCs w:val="26"/>
        </w:rPr>
        <w:t>Michael C.</w:t>
      </w:r>
      <w:r w:rsidRPr="00615E9A">
        <w:rPr>
          <w:rFonts w:ascii="Garamond" w:hAnsi="Garamond" w:cs="AppleSystemUIFont"/>
          <w:sz w:val="26"/>
          <w:szCs w:val="26"/>
        </w:rPr>
        <w:t xml:space="preserve">, </w:t>
      </w:r>
      <w:r w:rsidRPr="00B831CA">
        <w:rPr>
          <w:rFonts w:ascii="Garamond" w:hAnsi="Garamond" w:cs="AppleSystemUIFont"/>
          <w:i/>
          <w:iCs/>
          <w:sz w:val="26"/>
          <w:szCs w:val="26"/>
        </w:rPr>
        <w:t>supra</w:t>
      </w:r>
      <w:r w:rsidRPr="00615E9A">
        <w:rPr>
          <w:rFonts w:ascii="Garamond" w:hAnsi="Garamond" w:cs="AppleSystemUIFont"/>
          <w:sz w:val="26"/>
          <w:szCs w:val="26"/>
        </w:rPr>
        <w:t>, 442 U.S. at p. 726 [same].)</w:t>
      </w:r>
    </w:p>
    <w:p w14:paraId="557ACCC9" w14:textId="09A0BAB1" w:rsidR="008F791F" w:rsidRPr="00AD18AA" w:rsidRDefault="008F791F" w:rsidP="00AD18AA">
      <w:pPr>
        <w:keepNext/>
        <w:keepLines/>
        <w:ind w:firstLine="720"/>
        <w:rPr>
          <w:rFonts w:ascii="Garamond" w:hAnsi="Garamond" w:cs="AppleSystemUIFont"/>
          <w:b/>
          <w:bCs/>
          <w:sz w:val="26"/>
          <w:szCs w:val="26"/>
        </w:rPr>
      </w:pPr>
      <w:r w:rsidRPr="00615E9A">
        <w:rPr>
          <w:rFonts w:ascii="Garamond" w:hAnsi="Garamond" w:cs="AppleSystemUIFont"/>
          <w:b/>
          <w:bCs/>
          <w:sz w:val="26"/>
          <w:szCs w:val="26"/>
        </w:rPr>
        <w:lastRenderedPageBreak/>
        <w:t>2.</w:t>
      </w:r>
      <w:r w:rsidR="00AD18AA">
        <w:rPr>
          <w:rFonts w:ascii="Garamond" w:hAnsi="Garamond" w:cs="AppleSystemUIFont"/>
          <w:b/>
          <w:bCs/>
          <w:sz w:val="26"/>
          <w:szCs w:val="26"/>
        </w:rPr>
        <w:tab/>
      </w:r>
      <w:r>
        <w:rPr>
          <w:rFonts w:ascii="Garamond" w:hAnsi="Garamond" w:cs="AppleSystemUIFont"/>
          <w:b/>
          <w:bCs/>
          <w:sz w:val="26"/>
          <w:szCs w:val="26"/>
        </w:rPr>
        <w:t xml:space="preserve">A juvenile’s knowing and intelligent waiver of </w:t>
      </w:r>
      <w:r w:rsidRPr="00615E9A">
        <w:rPr>
          <w:rFonts w:ascii="Garamond" w:hAnsi="Garamond" w:cs="AppleSystemUIFont"/>
          <w:b/>
          <w:bCs/>
          <w:sz w:val="26"/>
          <w:szCs w:val="26"/>
        </w:rPr>
        <w:t xml:space="preserve">their </w:t>
      </w:r>
      <w:r w:rsidRPr="00615E9A">
        <w:rPr>
          <w:rFonts w:ascii="Garamond" w:hAnsi="Garamond" w:cs="AppleSystemUIFont"/>
          <w:b/>
          <w:bCs/>
          <w:i/>
          <w:sz w:val="26"/>
          <w:szCs w:val="26"/>
        </w:rPr>
        <w:t>Miranda</w:t>
      </w:r>
      <w:r w:rsidR="00AD18AA">
        <w:rPr>
          <w:rFonts w:ascii="Garamond" w:hAnsi="Garamond" w:cs="AppleSystemUIFont"/>
          <w:b/>
          <w:bCs/>
          <w:i/>
          <w:sz w:val="26"/>
          <w:szCs w:val="26"/>
        </w:rPr>
        <w:t xml:space="preserve"> </w:t>
      </w:r>
      <w:r w:rsidR="00AD18AA">
        <w:rPr>
          <w:rFonts w:ascii="Garamond" w:hAnsi="Garamond" w:cs="AppleSystemUIFont"/>
          <w:b/>
          <w:bCs/>
          <w:sz w:val="26"/>
          <w:szCs w:val="26"/>
        </w:rPr>
        <w:t>rights</w:t>
      </w:r>
    </w:p>
    <w:p w14:paraId="630F30BB" w14:textId="77777777" w:rsidR="008F791F" w:rsidRPr="00615E9A" w:rsidRDefault="008F791F" w:rsidP="00DD1299">
      <w:pPr>
        <w:keepNext/>
        <w:keepLines/>
        <w:rPr>
          <w:rFonts w:ascii="Garamond" w:hAnsi="Garamond" w:cs="AppleSystemUIFont"/>
          <w:sz w:val="26"/>
          <w:szCs w:val="26"/>
        </w:rPr>
      </w:pPr>
      <w:r w:rsidRPr="00615E9A">
        <w:rPr>
          <w:rFonts w:ascii="Garamond" w:hAnsi="Garamond" w:cs="AppleSystemUIFont"/>
          <w:sz w:val="26"/>
          <w:szCs w:val="26"/>
        </w:rPr>
        <w:t xml:space="preserve">Multiple courts have relied on developmental science to support their decisions on the validity of a juvenile’s waiver under </w:t>
      </w:r>
      <w:r w:rsidRPr="00072A8A">
        <w:rPr>
          <w:rFonts w:ascii="Garamond" w:hAnsi="Garamond" w:cs="AppleSystemUIFont"/>
          <w:i/>
          <w:sz w:val="26"/>
          <w:szCs w:val="26"/>
        </w:rPr>
        <w:t>Miranda</w:t>
      </w:r>
      <w:r w:rsidRPr="00615E9A">
        <w:rPr>
          <w:rFonts w:ascii="Garamond" w:hAnsi="Garamond" w:cs="AppleSystemUIFont"/>
          <w:sz w:val="26"/>
          <w:szCs w:val="26"/>
        </w:rPr>
        <w:t xml:space="preserve">. The difference between adults and juveniles is again central to the analysis. </w:t>
      </w:r>
    </w:p>
    <w:p w14:paraId="58CD5D7C" w14:textId="665188D3" w:rsidR="008F791F" w:rsidRPr="00615E9A" w:rsidRDefault="008F791F" w:rsidP="008F791F">
      <w:pPr>
        <w:rPr>
          <w:rFonts w:ascii="Garamond" w:hAnsi="Garamond" w:cs="AppleSystemUIFont"/>
          <w:sz w:val="26"/>
          <w:szCs w:val="26"/>
        </w:rPr>
      </w:pPr>
      <w:r w:rsidRPr="00615E9A">
        <w:rPr>
          <w:rFonts w:ascii="Garamond" w:hAnsi="Garamond" w:cs="AppleSystemUIFont"/>
          <w:sz w:val="26"/>
          <w:szCs w:val="26"/>
        </w:rPr>
        <w:t>“It is beyond dispute that children will often feel bound to submit to police questioning when an adult in the same circumstances would feel free to leave.” (</w:t>
      </w:r>
      <w:r w:rsidRPr="00B831CA">
        <w:rPr>
          <w:rFonts w:ascii="Garamond" w:hAnsi="Garamond" w:cs="AppleSystemUIFont"/>
          <w:i/>
          <w:iCs/>
          <w:sz w:val="26"/>
          <w:szCs w:val="26"/>
        </w:rPr>
        <w:t>J.D.B. v. North Carolina</w:t>
      </w:r>
      <w:r w:rsidRPr="00615E9A">
        <w:rPr>
          <w:rFonts w:ascii="Garamond" w:hAnsi="Garamond" w:cs="AppleSystemUIFont"/>
          <w:sz w:val="26"/>
          <w:szCs w:val="26"/>
        </w:rPr>
        <w:t xml:space="preserve"> (2011) 564 U.S. 261, 264-265.) A child’s age “generates commonsense conclusions about behavior and perception.”</w:t>
      </w:r>
      <w:r>
        <w:rPr>
          <w:rStyle w:val="FootnoteReference"/>
          <w:rFonts w:ascii="Garamond" w:hAnsi="Garamond" w:cs="AppleSystemUIFont"/>
          <w:sz w:val="26"/>
          <w:szCs w:val="26"/>
        </w:rPr>
        <w:footnoteReference w:id="41"/>
      </w:r>
      <w:r w:rsidRPr="00615E9A">
        <w:rPr>
          <w:rFonts w:ascii="Garamond" w:hAnsi="Garamond" w:cs="AppleSystemUIFont"/>
          <w:sz w:val="26"/>
          <w:szCs w:val="26"/>
        </w:rPr>
        <w:t xml:space="preserve"> (</w:t>
      </w:r>
      <w:r w:rsidRPr="00B831CA">
        <w:rPr>
          <w:rFonts w:ascii="Garamond" w:hAnsi="Garamond" w:cs="AppleSystemUIFont"/>
          <w:i/>
          <w:iCs/>
          <w:sz w:val="26"/>
          <w:szCs w:val="26"/>
        </w:rPr>
        <w:t>Yarborough v. Alvarado</w:t>
      </w:r>
      <w:r w:rsidRPr="00615E9A">
        <w:rPr>
          <w:rFonts w:ascii="Garamond" w:hAnsi="Garamond" w:cs="AppleSystemUIFont"/>
          <w:sz w:val="26"/>
          <w:szCs w:val="26"/>
        </w:rPr>
        <w:t xml:space="preserve"> (2004) 541 U.S. 652, 674.) Children as a class “lack the experience, perspective, and judgment to recognize and avoid choices that could be detrimental to them,” (</w:t>
      </w:r>
      <w:r w:rsidRPr="00B831CA">
        <w:rPr>
          <w:rFonts w:ascii="Garamond" w:hAnsi="Garamond" w:cs="AppleSystemUIFont"/>
          <w:i/>
          <w:iCs/>
          <w:sz w:val="26"/>
          <w:szCs w:val="26"/>
        </w:rPr>
        <w:t>Bellotti v. Baird</w:t>
      </w:r>
      <w:r w:rsidRPr="00615E9A">
        <w:rPr>
          <w:rFonts w:ascii="Garamond" w:hAnsi="Garamond" w:cs="AppleSystemUIFont"/>
          <w:sz w:val="26"/>
          <w:szCs w:val="26"/>
        </w:rPr>
        <w:t xml:space="preserve"> (1979) 443 U.S. 622, 635) and “are more vulnerable or susceptible to . . . outside pressures” than adults. (</w:t>
      </w:r>
      <w:r w:rsidRPr="00B831CA">
        <w:rPr>
          <w:rFonts w:ascii="Garamond" w:hAnsi="Garamond" w:cs="AppleSystemUIFont"/>
          <w:i/>
          <w:iCs/>
          <w:sz w:val="26"/>
          <w:szCs w:val="26"/>
        </w:rPr>
        <w:t>Roper</w:t>
      </w:r>
      <w:r>
        <w:rPr>
          <w:rFonts w:ascii="Garamond" w:hAnsi="Garamond" w:cs="AppleSystemUIFont"/>
          <w:sz w:val="26"/>
          <w:szCs w:val="26"/>
        </w:rPr>
        <w:t xml:space="preserve">, </w:t>
      </w:r>
      <w:r w:rsidRPr="00B831CA">
        <w:rPr>
          <w:rFonts w:ascii="Garamond" w:hAnsi="Garamond" w:cs="AppleSystemUIFont"/>
          <w:i/>
          <w:iCs/>
          <w:sz w:val="26"/>
          <w:szCs w:val="26"/>
        </w:rPr>
        <w:t>supra</w:t>
      </w:r>
      <w:r>
        <w:rPr>
          <w:rFonts w:ascii="Garamond" w:hAnsi="Garamond" w:cs="AppleSystemUIFont"/>
          <w:sz w:val="26"/>
          <w:szCs w:val="26"/>
        </w:rPr>
        <w:t>,</w:t>
      </w:r>
      <w:r w:rsidRPr="00615E9A">
        <w:rPr>
          <w:rFonts w:ascii="Garamond" w:hAnsi="Garamond" w:cs="AppleSystemUIFont"/>
          <w:sz w:val="26"/>
          <w:szCs w:val="26"/>
        </w:rPr>
        <w:t xml:space="preserve"> 543 U.S. </w:t>
      </w:r>
      <w:r>
        <w:rPr>
          <w:rFonts w:ascii="Garamond" w:hAnsi="Garamond" w:cs="AppleSystemUIFont"/>
          <w:sz w:val="26"/>
          <w:szCs w:val="26"/>
        </w:rPr>
        <w:t xml:space="preserve">at p. </w:t>
      </w:r>
      <w:r w:rsidR="00072A8A">
        <w:rPr>
          <w:rFonts w:ascii="Garamond" w:hAnsi="Garamond" w:cs="AppleSystemUIFont"/>
          <w:sz w:val="26"/>
          <w:szCs w:val="26"/>
        </w:rPr>
        <w:t>569.) Moreover, “juvenile</w:t>
      </w:r>
      <w:r w:rsidRPr="00615E9A">
        <w:rPr>
          <w:rFonts w:ascii="Garamond" w:hAnsi="Garamond" w:cs="AppleSystemUIFont"/>
          <w:sz w:val="26"/>
          <w:szCs w:val="26"/>
        </w:rPr>
        <w:t>s aged fifteen and younger have deficits in their legal understanding, knowledge, and decision-making capabilities.” (</w:t>
      </w:r>
      <w:r w:rsidRPr="00B831CA">
        <w:rPr>
          <w:rFonts w:ascii="Garamond" w:hAnsi="Garamond" w:cs="AppleSystemUIFont"/>
          <w:i/>
          <w:iCs/>
          <w:sz w:val="26"/>
          <w:szCs w:val="26"/>
        </w:rPr>
        <w:t>Elias V.</w:t>
      </w:r>
      <w:r w:rsidRPr="00615E9A">
        <w:rPr>
          <w:rFonts w:ascii="Garamond" w:hAnsi="Garamond" w:cs="AppleSystemUIFont"/>
          <w:sz w:val="26"/>
          <w:szCs w:val="26"/>
        </w:rPr>
        <w:t xml:space="preserve">, </w:t>
      </w:r>
      <w:r w:rsidRPr="00B831CA">
        <w:rPr>
          <w:rFonts w:ascii="Garamond" w:hAnsi="Garamond" w:cs="AppleSystemUIFont"/>
          <w:i/>
          <w:iCs/>
          <w:sz w:val="26"/>
          <w:szCs w:val="26"/>
        </w:rPr>
        <w:t>supra</w:t>
      </w:r>
      <w:r w:rsidRPr="00615E9A">
        <w:rPr>
          <w:rFonts w:ascii="Garamond" w:hAnsi="Garamond" w:cs="AppleSystemUIFont"/>
          <w:sz w:val="26"/>
          <w:szCs w:val="26"/>
        </w:rPr>
        <w:t>, 237 Cal.App.4th at p. 578.)</w:t>
      </w:r>
    </w:p>
    <w:p w14:paraId="598838EF" w14:textId="234FE666" w:rsidR="008F791F" w:rsidRPr="00615E9A" w:rsidRDefault="00AD18AA" w:rsidP="00AD18AA">
      <w:pPr>
        <w:ind w:firstLine="720"/>
        <w:rPr>
          <w:rFonts w:ascii="Garamond" w:hAnsi="Garamond" w:cs="AppleSystemUIFont"/>
          <w:b/>
          <w:bCs/>
          <w:sz w:val="26"/>
          <w:szCs w:val="26"/>
        </w:rPr>
      </w:pPr>
      <w:r>
        <w:rPr>
          <w:rFonts w:ascii="Garamond" w:hAnsi="Garamond" w:cs="AppleSystemUIFont"/>
          <w:b/>
          <w:bCs/>
          <w:sz w:val="26"/>
          <w:szCs w:val="26"/>
        </w:rPr>
        <w:t>3.</w:t>
      </w:r>
      <w:r>
        <w:rPr>
          <w:rFonts w:ascii="Garamond" w:hAnsi="Garamond" w:cs="AppleSystemUIFont"/>
          <w:b/>
          <w:bCs/>
          <w:sz w:val="26"/>
          <w:szCs w:val="26"/>
        </w:rPr>
        <w:tab/>
      </w:r>
      <w:r w:rsidR="008F791F" w:rsidRPr="00615E9A">
        <w:rPr>
          <w:rFonts w:ascii="Garamond" w:hAnsi="Garamond" w:cs="AppleSystemUIFont"/>
          <w:b/>
          <w:bCs/>
          <w:sz w:val="26"/>
          <w:szCs w:val="26"/>
        </w:rPr>
        <w:t xml:space="preserve">Racial disparities and the valid </w:t>
      </w:r>
      <w:r w:rsidR="008F791F" w:rsidRPr="00B831CA">
        <w:rPr>
          <w:rFonts w:ascii="Garamond" w:hAnsi="Garamond" w:cs="AppleSystemUIFont"/>
          <w:b/>
          <w:bCs/>
          <w:i/>
          <w:iCs/>
          <w:sz w:val="26"/>
          <w:szCs w:val="26"/>
        </w:rPr>
        <w:t>Miranda</w:t>
      </w:r>
      <w:r w:rsidR="008F791F" w:rsidRPr="00615E9A">
        <w:rPr>
          <w:rFonts w:ascii="Garamond" w:hAnsi="Garamond" w:cs="AppleSystemUIFont"/>
          <w:b/>
          <w:bCs/>
          <w:sz w:val="26"/>
          <w:szCs w:val="26"/>
        </w:rPr>
        <w:t xml:space="preserve"> waiver</w:t>
      </w:r>
    </w:p>
    <w:p w14:paraId="59FD0F53" w14:textId="77777777" w:rsidR="008F791F" w:rsidRPr="00615E9A" w:rsidRDefault="008F791F" w:rsidP="008F791F">
      <w:pPr>
        <w:rPr>
          <w:rFonts w:ascii="Garamond" w:hAnsi="Garamond" w:cs="AppleSystemUIFont"/>
          <w:sz w:val="26"/>
          <w:szCs w:val="26"/>
        </w:rPr>
      </w:pPr>
      <w:r w:rsidRPr="00615E9A">
        <w:rPr>
          <w:rFonts w:ascii="Garamond" w:hAnsi="Garamond" w:cs="AppleSystemUIFont"/>
          <w:sz w:val="26"/>
          <w:szCs w:val="26"/>
        </w:rPr>
        <w:t xml:space="preserve">Studies have shown that black juveniles with low IQs have greater difficulty understanding their </w:t>
      </w:r>
      <w:r w:rsidRPr="00A66803">
        <w:rPr>
          <w:rFonts w:ascii="Garamond" w:hAnsi="Garamond" w:cs="AppleSystemUIFont"/>
          <w:i/>
          <w:sz w:val="26"/>
          <w:szCs w:val="26"/>
        </w:rPr>
        <w:t>Miranda</w:t>
      </w:r>
      <w:r w:rsidRPr="00615E9A">
        <w:rPr>
          <w:rFonts w:ascii="Garamond" w:hAnsi="Garamond" w:cs="AppleSystemUIFont"/>
          <w:sz w:val="26"/>
          <w:szCs w:val="26"/>
        </w:rPr>
        <w:t xml:space="preserve"> rights than white juveniles with the same IQ. (See Grisso, </w:t>
      </w:r>
      <w:r w:rsidRPr="00954A2E">
        <w:rPr>
          <w:rFonts w:ascii="Garamond" w:hAnsi="Garamond" w:cs="AppleSystemUIFont"/>
          <w:i/>
          <w:sz w:val="26"/>
          <w:szCs w:val="26"/>
        </w:rPr>
        <w:t>Juveniles’ Capacities to Waive Miranda Rights: An Empirical Analysis</w:t>
      </w:r>
      <w:r w:rsidRPr="00615E9A">
        <w:rPr>
          <w:rFonts w:ascii="Garamond" w:hAnsi="Garamond" w:cs="AppleSystemUIFont"/>
          <w:sz w:val="26"/>
          <w:szCs w:val="26"/>
        </w:rPr>
        <w:t xml:space="preserve"> (1980) 68 Cal. L.Rev. 1134, 1156 [studies “suggest that black juveniles with low IQ scores experience greater difficulty in comprehending </w:t>
      </w:r>
      <w:r w:rsidRPr="00A66803">
        <w:rPr>
          <w:rFonts w:ascii="Garamond" w:hAnsi="Garamond" w:cs="AppleSystemUIFont"/>
          <w:i/>
          <w:sz w:val="26"/>
          <w:szCs w:val="26"/>
        </w:rPr>
        <w:t>Miranda</w:t>
      </w:r>
      <w:r w:rsidRPr="00615E9A">
        <w:rPr>
          <w:rFonts w:ascii="Garamond" w:hAnsi="Garamond" w:cs="AppleSystemUIFont"/>
          <w:sz w:val="26"/>
          <w:szCs w:val="26"/>
        </w:rPr>
        <w:t xml:space="preserve"> warnings than do whites with similarly low IQ’s.”].) Accordingly, the ethnicity of the defendant and (I would argue) the interrogator should be considered. (See e.g. </w:t>
      </w:r>
      <w:r w:rsidRPr="00B831CA">
        <w:rPr>
          <w:rFonts w:ascii="Garamond" w:hAnsi="Garamond" w:cs="AppleSystemUIFont"/>
          <w:i/>
          <w:iCs/>
          <w:sz w:val="26"/>
          <w:szCs w:val="26"/>
        </w:rPr>
        <w:t>In re Anthony J.</w:t>
      </w:r>
      <w:r>
        <w:rPr>
          <w:rFonts w:ascii="Garamond" w:hAnsi="Garamond" w:cs="AppleSystemUIFont"/>
          <w:sz w:val="26"/>
          <w:szCs w:val="26"/>
        </w:rPr>
        <w:t xml:space="preserve"> (1980) </w:t>
      </w:r>
      <w:r w:rsidRPr="00615E9A">
        <w:rPr>
          <w:rFonts w:ascii="Garamond" w:hAnsi="Garamond" w:cs="AppleSystemUIFont"/>
          <w:sz w:val="26"/>
          <w:szCs w:val="26"/>
        </w:rPr>
        <w:t xml:space="preserve">107 Cal.App.3d </w:t>
      </w:r>
      <w:r>
        <w:rPr>
          <w:rFonts w:ascii="Garamond" w:hAnsi="Garamond" w:cs="AppleSystemUIFont"/>
          <w:sz w:val="26"/>
          <w:szCs w:val="26"/>
        </w:rPr>
        <w:t xml:space="preserve">967, </w:t>
      </w:r>
      <w:r w:rsidRPr="00615E9A">
        <w:rPr>
          <w:rFonts w:ascii="Garamond" w:hAnsi="Garamond" w:cs="AppleSystemUIFont"/>
          <w:sz w:val="26"/>
          <w:szCs w:val="26"/>
        </w:rPr>
        <w:t xml:space="preserve">972 [race considered when assessing whether a waiver was made].)   </w:t>
      </w:r>
    </w:p>
    <w:p w14:paraId="5C41CF92" w14:textId="6B478215" w:rsidR="008F791F" w:rsidRPr="00615E9A" w:rsidRDefault="008F791F" w:rsidP="008F791F">
      <w:pPr>
        <w:rPr>
          <w:rFonts w:ascii="Garamond" w:hAnsi="Garamond" w:cs="AppleSystemUIFont"/>
          <w:sz w:val="26"/>
          <w:szCs w:val="26"/>
        </w:rPr>
      </w:pPr>
      <w:r w:rsidRPr="00615E9A">
        <w:rPr>
          <w:rFonts w:ascii="Garamond" w:hAnsi="Garamond" w:cs="AppleSystemUIFont"/>
          <w:sz w:val="26"/>
          <w:szCs w:val="26"/>
        </w:rPr>
        <w:t>As Supreme Court Justice Sonia Sotomayor has noted, “For generations, black and brown par</w:t>
      </w:r>
      <w:r w:rsidR="00072A8A">
        <w:rPr>
          <w:rFonts w:ascii="Garamond" w:hAnsi="Garamond" w:cs="AppleSystemUIFont"/>
          <w:sz w:val="26"/>
          <w:szCs w:val="26"/>
        </w:rPr>
        <w:t>ents have given their children ‘the talk’</w:t>
      </w:r>
      <w:r w:rsidRPr="00615E9A">
        <w:rPr>
          <w:rFonts w:ascii="Garamond" w:hAnsi="Garamond" w:cs="AppleSystemUIFont"/>
          <w:sz w:val="26"/>
          <w:szCs w:val="26"/>
        </w:rPr>
        <w:t>— instructing them never to run down the street; always keep your hands where they can be seen; do not even think of talking back to a stranger—all out of fear of how an officer with a gun will react to them. [Citations.]” (</w:t>
      </w:r>
      <w:r w:rsidRPr="00B831CA">
        <w:rPr>
          <w:rFonts w:ascii="Garamond" w:hAnsi="Garamond" w:cs="AppleSystemUIFont"/>
          <w:i/>
          <w:iCs/>
          <w:sz w:val="26"/>
          <w:szCs w:val="26"/>
        </w:rPr>
        <w:t>Utah v. Strieff</w:t>
      </w:r>
      <w:r w:rsidRPr="00615E9A">
        <w:rPr>
          <w:rFonts w:ascii="Garamond" w:hAnsi="Garamond" w:cs="AppleSystemUIFont"/>
          <w:sz w:val="26"/>
          <w:szCs w:val="26"/>
        </w:rPr>
        <w:t xml:space="preserve"> (2016) 136 S. Ct. 2056, 2070 (dis. opn. of Sotomayor, J.).)</w:t>
      </w:r>
    </w:p>
    <w:p w14:paraId="63C50DDF" w14:textId="6C2935FB" w:rsidR="008F791F" w:rsidRPr="00615E9A" w:rsidRDefault="008F791F" w:rsidP="00AD18AA">
      <w:pPr>
        <w:ind w:firstLine="720"/>
        <w:rPr>
          <w:rFonts w:ascii="Garamond" w:hAnsi="Garamond" w:cs="AppleSystemUIFont"/>
          <w:b/>
          <w:bCs/>
          <w:sz w:val="26"/>
          <w:szCs w:val="26"/>
        </w:rPr>
      </w:pPr>
      <w:r w:rsidRPr="00615E9A">
        <w:rPr>
          <w:rFonts w:ascii="Garamond" w:hAnsi="Garamond" w:cs="AppleSystemUIFont"/>
          <w:b/>
          <w:bCs/>
          <w:sz w:val="26"/>
          <w:szCs w:val="26"/>
        </w:rPr>
        <w:t>4.</w:t>
      </w:r>
      <w:r w:rsidR="00AD18AA">
        <w:rPr>
          <w:rFonts w:ascii="Garamond" w:hAnsi="Garamond" w:cs="AppleSystemUIFont"/>
          <w:b/>
          <w:bCs/>
          <w:sz w:val="26"/>
          <w:szCs w:val="26"/>
        </w:rPr>
        <w:tab/>
      </w:r>
      <w:r w:rsidRPr="00615E9A">
        <w:rPr>
          <w:rFonts w:ascii="Garamond" w:hAnsi="Garamond" w:cs="AppleSystemUIFont"/>
          <w:b/>
          <w:bCs/>
          <w:sz w:val="26"/>
          <w:szCs w:val="26"/>
        </w:rPr>
        <w:t>Violation of the right to silence</w:t>
      </w:r>
    </w:p>
    <w:p w14:paraId="19B20B31" w14:textId="29263333" w:rsidR="008F791F" w:rsidRPr="00615E9A" w:rsidRDefault="00072A8A" w:rsidP="008F791F">
      <w:pPr>
        <w:rPr>
          <w:rFonts w:ascii="Garamond" w:hAnsi="Garamond" w:cs="AppleSystemUIFont"/>
          <w:sz w:val="26"/>
          <w:szCs w:val="26"/>
        </w:rPr>
      </w:pPr>
      <w:r>
        <w:rPr>
          <w:rFonts w:ascii="Garamond" w:hAnsi="Garamond" w:cs="AppleSystemUIFont"/>
          <w:sz w:val="26"/>
          <w:szCs w:val="26"/>
        </w:rPr>
        <w:t>The youth factor is relevant here too</w:t>
      </w:r>
      <w:r w:rsidR="008F791F" w:rsidRPr="00615E9A">
        <w:rPr>
          <w:rFonts w:ascii="Garamond" w:hAnsi="Garamond" w:cs="AppleSystemUIFont"/>
          <w:sz w:val="26"/>
          <w:szCs w:val="26"/>
        </w:rPr>
        <w:t xml:space="preserve">. For example, the court in </w:t>
      </w:r>
      <w:r w:rsidR="008F791F" w:rsidRPr="00B831CA">
        <w:rPr>
          <w:rFonts w:ascii="Garamond" w:hAnsi="Garamond" w:cs="AppleSystemUIFont"/>
          <w:i/>
          <w:iCs/>
          <w:sz w:val="26"/>
          <w:szCs w:val="26"/>
        </w:rPr>
        <w:t xml:space="preserve">People v. Villasenor </w:t>
      </w:r>
      <w:r w:rsidR="008F791F" w:rsidRPr="00615E9A">
        <w:rPr>
          <w:rFonts w:ascii="Garamond" w:hAnsi="Garamond" w:cs="AppleSystemUIFont"/>
          <w:sz w:val="26"/>
          <w:szCs w:val="26"/>
        </w:rPr>
        <w:t xml:space="preserve">(2015) 242 Cal.App.4th 42 at page 66, found that a reasonable officer would understand that when a </w:t>
      </w:r>
      <w:r w:rsidR="008F791F" w:rsidRPr="00615E9A">
        <w:rPr>
          <w:rFonts w:ascii="Garamond" w:hAnsi="Garamond" w:cs="AppleSystemUIFont"/>
          <w:sz w:val="26"/>
          <w:szCs w:val="26"/>
        </w:rPr>
        <w:lastRenderedPageBreak/>
        <w:t>minor says three times that he wanted to go home, he was invoking his right to silence, i.e., his right to end the interrogation.</w:t>
      </w:r>
      <w:r w:rsidR="00954A2E">
        <w:rPr>
          <w:rStyle w:val="FootnoteReference"/>
          <w:rFonts w:ascii="Garamond" w:hAnsi="Garamond" w:cs="AppleSystemUIFont"/>
          <w:sz w:val="26"/>
          <w:szCs w:val="26"/>
        </w:rPr>
        <w:footnoteReference w:id="42"/>
      </w:r>
      <w:r w:rsidR="008F791F" w:rsidRPr="00615E9A">
        <w:rPr>
          <w:rFonts w:ascii="Garamond" w:hAnsi="Garamond" w:cs="AppleSystemUIFont"/>
          <w:sz w:val="26"/>
          <w:szCs w:val="26"/>
        </w:rPr>
        <w:t xml:space="preserve"> </w:t>
      </w:r>
    </w:p>
    <w:p w14:paraId="5E640ED8" w14:textId="61C9FED6" w:rsidR="008F791F" w:rsidRPr="00615E9A" w:rsidRDefault="008F791F" w:rsidP="00AD18AA">
      <w:pPr>
        <w:ind w:firstLine="720"/>
        <w:rPr>
          <w:rFonts w:ascii="Garamond" w:hAnsi="Garamond" w:cs="AppleSystemUIFont"/>
          <w:b/>
          <w:bCs/>
          <w:sz w:val="26"/>
          <w:szCs w:val="26"/>
        </w:rPr>
      </w:pPr>
      <w:r>
        <w:rPr>
          <w:rFonts w:ascii="Garamond" w:hAnsi="Garamond" w:cs="AppleSystemUIFont"/>
          <w:b/>
          <w:bCs/>
          <w:sz w:val="26"/>
          <w:szCs w:val="26"/>
        </w:rPr>
        <w:t>B.</w:t>
      </w:r>
      <w:r w:rsidR="00AD18AA">
        <w:rPr>
          <w:rFonts w:ascii="Garamond" w:hAnsi="Garamond" w:cs="AppleSystemUIFont"/>
          <w:b/>
          <w:bCs/>
          <w:sz w:val="26"/>
          <w:szCs w:val="26"/>
        </w:rPr>
        <w:tab/>
      </w:r>
      <w:r w:rsidRPr="00615E9A">
        <w:rPr>
          <w:rFonts w:ascii="Garamond" w:hAnsi="Garamond" w:cs="AppleSystemUIFont"/>
          <w:b/>
          <w:bCs/>
          <w:sz w:val="26"/>
          <w:szCs w:val="26"/>
        </w:rPr>
        <w:t>Improper interrogation techniques involving juveniles</w:t>
      </w:r>
    </w:p>
    <w:p w14:paraId="3F9A6F94" w14:textId="77777777" w:rsidR="008F791F" w:rsidRPr="00615E9A" w:rsidRDefault="008F791F" w:rsidP="008F791F">
      <w:pPr>
        <w:rPr>
          <w:rFonts w:ascii="Garamond" w:hAnsi="Garamond" w:cs="AppleSystemUIFont"/>
          <w:sz w:val="26"/>
          <w:szCs w:val="26"/>
        </w:rPr>
      </w:pPr>
      <w:r w:rsidRPr="00615E9A">
        <w:rPr>
          <w:rFonts w:ascii="Garamond" w:hAnsi="Garamond" w:cs="AppleSystemUIFont"/>
          <w:sz w:val="26"/>
          <w:szCs w:val="26"/>
        </w:rPr>
        <w:t>Involuntary confessions violate the Fourteenth Amendment. (</w:t>
      </w:r>
      <w:r w:rsidRPr="00B831CA">
        <w:rPr>
          <w:rFonts w:ascii="Garamond" w:hAnsi="Garamond" w:cs="AppleSystemUIFont"/>
          <w:i/>
          <w:iCs/>
          <w:sz w:val="26"/>
          <w:szCs w:val="26"/>
        </w:rPr>
        <w:t>Arizona v. Fulminate</w:t>
      </w:r>
      <w:r w:rsidRPr="00615E9A">
        <w:rPr>
          <w:rFonts w:ascii="Garamond" w:hAnsi="Garamond" w:cs="AppleSystemUIFont"/>
          <w:sz w:val="26"/>
          <w:szCs w:val="26"/>
        </w:rPr>
        <w:t xml:space="preserve"> (1991) 499 U.S. 279; see also </w:t>
      </w:r>
      <w:r w:rsidRPr="00B831CA">
        <w:rPr>
          <w:rFonts w:ascii="Garamond" w:hAnsi="Garamond" w:cs="AppleSystemUIFont"/>
          <w:i/>
          <w:iCs/>
          <w:sz w:val="26"/>
          <w:szCs w:val="26"/>
        </w:rPr>
        <w:t>People v. McCurdy</w:t>
      </w:r>
      <w:r w:rsidRPr="00615E9A">
        <w:rPr>
          <w:rFonts w:ascii="Garamond" w:hAnsi="Garamond" w:cs="AppleSystemUIFont"/>
          <w:sz w:val="26"/>
          <w:szCs w:val="26"/>
        </w:rPr>
        <w:t xml:space="preserve"> (2014) 59 Cal.4th 1063, 1086 [the use of an involuntary confession for any purpose in a juvenile proceeding violates the juvenile’s constitutional rights under the Fourteenth Amendment].)</w:t>
      </w:r>
      <w:r w:rsidRPr="00615E9A">
        <w:t xml:space="preserve"> </w:t>
      </w:r>
      <w:r w:rsidRPr="00615E9A">
        <w:rPr>
          <w:rFonts w:ascii="Garamond" w:hAnsi="Garamond" w:cs="AppleSystemUIFont"/>
          <w:sz w:val="26"/>
          <w:szCs w:val="26"/>
        </w:rPr>
        <w:t>While a finding that a confession was involuntary requires police coercion, any exertion of improper influence by the police would suffice. (</w:t>
      </w:r>
      <w:r w:rsidRPr="00B831CA">
        <w:rPr>
          <w:rFonts w:ascii="Garamond" w:hAnsi="Garamond" w:cs="AppleSystemUIFont"/>
          <w:i/>
          <w:iCs/>
          <w:sz w:val="26"/>
          <w:szCs w:val="26"/>
        </w:rPr>
        <w:t>Hutto v. Ross</w:t>
      </w:r>
      <w:r w:rsidRPr="00615E9A">
        <w:rPr>
          <w:rFonts w:ascii="Garamond" w:hAnsi="Garamond" w:cs="AppleSystemUIFont"/>
          <w:sz w:val="26"/>
          <w:szCs w:val="26"/>
        </w:rPr>
        <w:t xml:space="preserve"> (1976) 429 U.S. 28, 30.)</w:t>
      </w:r>
    </w:p>
    <w:p w14:paraId="22B744F4" w14:textId="77777777" w:rsidR="008F791F" w:rsidRPr="00615E9A" w:rsidRDefault="008F791F" w:rsidP="008F791F">
      <w:pPr>
        <w:rPr>
          <w:rFonts w:ascii="Garamond" w:hAnsi="Garamond" w:cs="AppleSystemUIFont"/>
          <w:sz w:val="26"/>
          <w:szCs w:val="26"/>
        </w:rPr>
      </w:pPr>
      <w:r w:rsidRPr="00615E9A">
        <w:rPr>
          <w:rFonts w:ascii="Garamond" w:hAnsi="Garamond" w:cs="AppleSystemUIFont"/>
          <w:sz w:val="26"/>
          <w:szCs w:val="26"/>
        </w:rPr>
        <w:t>False confessions are the leading cause of error in wrongful convictions; more than one third of those cases involved a suspect under the age of 18. (</w:t>
      </w:r>
      <w:r w:rsidRPr="00B831CA">
        <w:rPr>
          <w:rFonts w:ascii="Garamond" w:hAnsi="Garamond" w:cs="AppleSystemUIFont"/>
          <w:i/>
          <w:iCs/>
          <w:sz w:val="26"/>
          <w:szCs w:val="26"/>
        </w:rPr>
        <w:t>Elias V.</w:t>
      </w:r>
      <w:r w:rsidRPr="00615E9A">
        <w:rPr>
          <w:rFonts w:ascii="Garamond" w:hAnsi="Garamond" w:cs="AppleSystemUIFont"/>
          <w:sz w:val="26"/>
          <w:szCs w:val="26"/>
        </w:rPr>
        <w:t xml:space="preserve">, </w:t>
      </w:r>
      <w:r w:rsidRPr="00B831CA">
        <w:rPr>
          <w:rFonts w:ascii="Garamond" w:hAnsi="Garamond" w:cs="AppleSystemUIFont"/>
          <w:i/>
          <w:iCs/>
          <w:sz w:val="26"/>
          <w:szCs w:val="26"/>
        </w:rPr>
        <w:t>supra</w:t>
      </w:r>
      <w:r w:rsidRPr="00615E9A">
        <w:rPr>
          <w:rFonts w:ascii="Garamond" w:hAnsi="Garamond" w:cs="AppleSystemUIFont"/>
          <w:sz w:val="26"/>
          <w:szCs w:val="26"/>
        </w:rPr>
        <w:t>, 237 Cal.App.4th at p. 578.) Because juveniles are more suggestible than adults, they are more likely to falsely confess as a result of leading, suggestive, and repetitive questions. (</w:t>
      </w:r>
      <w:r w:rsidRPr="00B831CA">
        <w:rPr>
          <w:rFonts w:ascii="Garamond" w:hAnsi="Garamond" w:cs="AppleSystemUIFont"/>
          <w:i/>
          <w:iCs/>
          <w:sz w:val="26"/>
          <w:szCs w:val="26"/>
        </w:rPr>
        <w:t>Ibid</w:t>
      </w:r>
      <w:r w:rsidRPr="00615E9A">
        <w:rPr>
          <w:rFonts w:ascii="Garamond" w:hAnsi="Garamond" w:cs="AppleSystemUIFont"/>
          <w:sz w:val="26"/>
          <w:szCs w:val="26"/>
        </w:rPr>
        <w:t>.) Indeed, the Supreme Court acknowledged that the danger of false confessions is more troubling and more acute in cases involving the police interrogation of juveniles. (</w:t>
      </w:r>
      <w:r w:rsidRPr="00B831CA">
        <w:rPr>
          <w:rFonts w:ascii="Garamond" w:hAnsi="Garamond" w:cs="AppleSystemUIFont"/>
          <w:i/>
          <w:iCs/>
          <w:sz w:val="26"/>
          <w:szCs w:val="26"/>
        </w:rPr>
        <w:t>J.D.B. v. North Carolina</w:t>
      </w:r>
      <w:r w:rsidRPr="00615E9A">
        <w:rPr>
          <w:rFonts w:ascii="Garamond" w:hAnsi="Garamond" w:cs="AppleSystemUIFont"/>
          <w:sz w:val="26"/>
          <w:szCs w:val="26"/>
        </w:rPr>
        <w:t xml:space="preserve">, </w:t>
      </w:r>
      <w:r w:rsidRPr="00B831CA">
        <w:rPr>
          <w:rFonts w:ascii="Garamond" w:hAnsi="Garamond" w:cs="AppleSystemUIFont"/>
          <w:i/>
          <w:iCs/>
          <w:sz w:val="26"/>
          <w:szCs w:val="26"/>
        </w:rPr>
        <w:t>supra</w:t>
      </w:r>
      <w:r w:rsidRPr="00615E9A">
        <w:rPr>
          <w:rFonts w:ascii="Garamond" w:hAnsi="Garamond" w:cs="AppleSystemUIFont"/>
          <w:sz w:val="26"/>
          <w:szCs w:val="26"/>
        </w:rPr>
        <w:t>, 564 U.S. at p. 269.)</w:t>
      </w:r>
    </w:p>
    <w:p w14:paraId="6BDD035A" w14:textId="515BCE72" w:rsidR="008F791F" w:rsidRPr="00615E9A" w:rsidRDefault="008F791F" w:rsidP="00AD18AA">
      <w:pPr>
        <w:ind w:left="1440" w:hanging="720"/>
        <w:rPr>
          <w:rFonts w:ascii="Garamond" w:hAnsi="Garamond" w:cs="AppleSystemUIFont"/>
          <w:b/>
          <w:bCs/>
          <w:sz w:val="26"/>
          <w:szCs w:val="26"/>
        </w:rPr>
      </w:pPr>
      <w:r>
        <w:rPr>
          <w:rFonts w:ascii="Garamond" w:hAnsi="Garamond" w:cs="AppleSystemUIFont"/>
          <w:b/>
          <w:bCs/>
          <w:sz w:val="26"/>
          <w:szCs w:val="26"/>
        </w:rPr>
        <w:t>1.</w:t>
      </w:r>
      <w:r w:rsidR="00AD18AA">
        <w:rPr>
          <w:rFonts w:ascii="Garamond" w:hAnsi="Garamond" w:cs="AppleSystemUIFont"/>
          <w:b/>
          <w:bCs/>
          <w:sz w:val="26"/>
          <w:szCs w:val="26"/>
        </w:rPr>
        <w:tab/>
      </w:r>
      <w:r w:rsidRPr="00615E9A">
        <w:rPr>
          <w:rFonts w:ascii="Garamond" w:hAnsi="Garamond" w:cs="AppleSystemUIFont"/>
          <w:b/>
          <w:bCs/>
          <w:sz w:val="26"/>
          <w:szCs w:val="26"/>
        </w:rPr>
        <w:t>Using false information to elicit information from juveniles</w:t>
      </w:r>
      <w:r w:rsidR="00072A8A">
        <w:rPr>
          <w:rFonts w:ascii="Garamond" w:hAnsi="Garamond" w:cs="AppleSystemUIFont"/>
          <w:b/>
          <w:bCs/>
          <w:sz w:val="26"/>
          <w:szCs w:val="26"/>
        </w:rPr>
        <w:t xml:space="preserve"> [e.g., use of the Reid Technique of interrogation]</w:t>
      </w:r>
    </w:p>
    <w:p w14:paraId="22E342AE" w14:textId="137ED696" w:rsidR="00072A8A" w:rsidRPr="00072A8A" w:rsidRDefault="00072A8A" w:rsidP="00072A8A">
      <w:pPr>
        <w:rPr>
          <w:rFonts w:ascii="Garamond" w:hAnsi="Garamond" w:cs="AppleSystemUIFont"/>
          <w:sz w:val="26"/>
          <w:szCs w:val="26"/>
        </w:rPr>
      </w:pPr>
      <w:r>
        <w:rPr>
          <w:rFonts w:ascii="Garamond" w:hAnsi="Garamond" w:cs="AppleSystemUIFont"/>
          <w:sz w:val="26"/>
          <w:szCs w:val="26"/>
        </w:rPr>
        <w:t>Be on the lookout for how officers approached the interrogation, which yielded incriminatory statements. One example of a particular type of interrogation is known as the “Reid technique,” which</w:t>
      </w:r>
      <w:r w:rsidRPr="00072A8A">
        <w:rPr>
          <w:rFonts w:ascii="Garamond" w:hAnsi="Garamond" w:cs="AppleSystemUIFont"/>
          <w:sz w:val="26"/>
          <w:szCs w:val="26"/>
        </w:rPr>
        <w:t xml:space="preserve"> is a method of interrogation pioneered by John E. Reid and Associates, aimed at extracting confessions and evaluating suspect credibility.</w:t>
      </w:r>
      <w:r>
        <w:rPr>
          <w:rFonts w:ascii="Garamond" w:hAnsi="Garamond" w:cs="AppleSystemUIFont"/>
          <w:sz w:val="26"/>
          <w:szCs w:val="26"/>
        </w:rPr>
        <w:t xml:space="preserve"> (</w:t>
      </w:r>
      <w:r w:rsidRPr="00072A8A">
        <w:rPr>
          <w:rFonts w:ascii="Garamond" w:hAnsi="Garamond" w:cs="AppleSystemUIFont"/>
          <w:i/>
          <w:sz w:val="26"/>
          <w:szCs w:val="26"/>
        </w:rPr>
        <w:t>United States v. Jacques</w:t>
      </w:r>
      <w:r w:rsidRPr="00072A8A">
        <w:rPr>
          <w:rFonts w:ascii="Garamond" w:hAnsi="Garamond" w:cs="AppleSystemUIFont"/>
          <w:sz w:val="26"/>
          <w:szCs w:val="26"/>
        </w:rPr>
        <w:t xml:space="preserve"> (1st Cir. 2014) 744 F.3d 804, 808, fn. 1.)</w:t>
      </w:r>
      <w:r w:rsidR="00A13DA0">
        <w:rPr>
          <w:rFonts w:ascii="Garamond" w:hAnsi="Garamond" w:cs="AppleSystemUIFont"/>
          <w:sz w:val="26"/>
          <w:szCs w:val="26"/>
        </w:rPr>
        <w:t xml:space="preserve"> It is still in use by law enforcement today. </w:t>
      </w:r>
      <w:r w:rsidRPr="00072A8A">
        <w:rPr>
          <w:rFonts w:ascii="Garamond" w:hAnsi="Garamond" w:cs="AppleSystemUIFont"/>
          <w:sz w:val="26"/>
          <w:szCs w:val="26"/>
        </w:rPr>
        <w:t>Behavioral scientists who study interrogation techniques and their effects have concisely described the Reid Technique as follows: “First, investigators are advised to isolate the suspect in a small private room, which increases his or her anxiety and incentive to escape. A nine-step process then ensues in which an interrogator employs both negative and positive incentives. On one hand, the interrogator confronts the suspect with accusations of guilt</w:t>
      </w:r>
      <w:r>
        <w:rPr>
          <w:rFonts w:ascii="Garamond" w:hAnsi="Garamond" w:cs="AppleSystemUIFont"/>
          <w:sz w:val="26"/>
          <w:szCs w:val="26"/>
        </w:rPr>
        <w:t xml:space="preserve">, assertions that may be </w:t>
      </w:r>
      <w:r w:rsidRPr="00072A8A">
        <w:rPr>
          <w:rFonts w:ascii="Garamond" w:hAnsi="Garamond" w:cs="AppleSystemUIFont"/>
          <w:sz w:val="26"/>
          <w:szCs w:val="26"/>
        </w:rPr>
        <w:t>bolstered by evidence, real or manufactured, and refuses to accept alibis and denials. On the other hand, the interrogator offers sympathy and moral justification, introducing ‘themes’ that minimize the crime and lead suspects to see confession as an expedient means of escape.” (</w:t>
      </w:r>
      <w:r w:rsidR="00A13DA0" w:rsidRPr="00072A8A">
        <w:rPr>
          <w:rFonts w:ascii="Garamond" w:hAnsi="Garamond" w:cs="AppleSystemUIFont"/>
          <w:sz w:val="26"/>
          <w:szCs w:val="26"/>
        </w:rPr>
        <w:t>In re Elias V. (2015) 237 Cal.App.4th 568, 579-580</w:t>
      </w:r>
      <w:r w:rsidR="00A13DA0">
        <w:rPr>
          <w:rFonts w:ascii="Garamond" w:hAnsi="Garamond" w:cs="AppleSystemUIFont"/>
          <w:sz w:val="26"/>
          <w:szCs w:val="26"/>
        </w:rPr>
        <w:t xml:space="preserve">, citing </w:t>
      </w:r>
      <w:proofErr w:type="spellStart"/>
      <w:r w:rsidRPr="00072A8A">
        <w:rPr>
          <w:rFonts w:ascii="Garamond" w:hAnsi="Garamond" w:cs="AppleSystemUIFont"/>
          <w:sz w:val="26"/>
          <w:szCs w:val="26"/>
        </w:rPr>
        <w:t>Kassin</w:t>
      </w:r>
      <w:proofErr w:type="spellEnd"/>
      <w:r w:rsidRPr="00072A8A">
        <w:rPr>
          <w:rFonts w:ascii="Garamond" w:hAnsi="Garamond" w:cs="AppleSystemUIFont"/>
          <w:sz w:val="26"/>
          <w:szCs w:val="26"/>
        </w:rPr>
        <w:t xml:space="preserve"> et al., Police-Induced Confessions: Risk Factors and Recommendations (2010) 34 Law &amp; Hum. </w:t>
      </w:r>
      <w:proofErr w:type="spellStart"/>
      <w:r w:rsidRPr="00072A8A">
        <w:rPr>
          <w:rFonts w:ascii="Garamond" w:hAnsi="Garamond" w:cs="AppleSystemUIFont"/>
          <w:sz w:val="26"/>
          <w:szCs w:val="26"/>
        </w:rPr>
        <w:t>Behav</w:t>
      </w:r>
      <w:proofErr w:type="spellEnd"/>
      <w:r w:rsidRPr="00072A8A">
        <w:rPr>
          <w:rFonts w:ascii="Garamond" w:hAnsi="Garamond" w:cs="AppleSystemUIFont"/>
          <w:sz w:val="26"/>
          <w:szCs w:val="26"/>
        </w:rPr>
        <w:t>. 3, 7.)</w:t>
      </w:r>
    </w:p>
    <w:p w14:paraId="18D6952D" w14:textId="0E2EA1CB" w:rsidR="008F791F" w:rsidRPr="00615E9A" w:rsidRDefault="00A13DA0" w:rsidP="00A13DA0">
      <w:pPr>
        <w:rPr>
          <w:rFonts w:ascii="Garamond" w:hAnsi="Garamond" w:cs="AppleSystemUIFont"/>
          <w:sz w:val="26"/>
          <w:szCs w:val="26"/>
        </w:rPr>
      </w:pPr>
      <w:r>
        <w:rPr>
          <w:rFonts w:ascii="Garamond" w:hAnsi="Garamond" w:cs="AppleSystemUIFont"/>
          <w:sz w:val="26"/>
          <w:szCs w:val="26"/>
        </w:rPr>
        <w:lastRenderedPageBreak/>
        <w:t>Even the Reid Technique, which is</w:t>
      </w:r>
      <w:r w:rsidR="008F791F">
        <w:rPr>
          <w:rFonts w:ascii="Garamond" w:hAnsi="Garamond" w:cs="AppleSystemUIFont"/>
          <w:sz w:val="26"/>
          <w:szCs w:val="26"/>
        </w:rPr>
        <w:t xml:space="preserve"> quoted extensively in the </w:t>
      </w:r>
      <w:r w:rsidR="008F791F" w:rsidRPr="00072A8A">
        <w:rPr>
          <w:rFonts w:ascii="Garamond" w:hAnsi="Garamond" w:cs="AppleSystemUIFont"/>
          <w:i/>
          <w:sz w:val="26"/>
          <w:szCs w:val="26"/>
        </w:rPr>
        <w:t>Miranda</w:t>
      </w:r>
      <w:r w:rsidR="008F791F">
        <w:rPr>
          <w:rFonts w:ascii="Garamond" w:hAnsi="Garamond" w:cs="AppleSystemUIFont"/>
          <w:sz w:val="26"/>
          <w:szCs w:val="26"/>
        </w:rPr>
        <w:t xml:space="preserve"> opinion</w:t>
      </w:r>
      <w:r>
        <w:rPr>
          <w:rFonts w:ascii="Garamond" w:hAnsi="Garamond" w:cs="AppleSystemUIFont"/>
          <w:sz w:val="26"/>
          <w:szCs w:val="26"/>
        </w:rPr>
        <w:t>,</w:t>
      </w:r>
      <w:r w:rsidR="008F791F">
        <w:rPr>
          <w:rFonts w:ascii="Garamond" w:hAnsi="Garamond" w:cs="AppleSystemUIFont"/>
          <w:sz w:val="26"/>
          <w:szCs w:val="26"/>
        </w:rPr>
        <w:t xml:space="preserve"> warns against the dangers of deception and use of false information to elicit information from juveniles. Such a “</w:t>
      </w:r>
      <w:r w:rsidR="008F791F" w:rsidRPr="00615E9A">
        <w:rPr>
          <w:rFonts w:ascii="Garamond" w:hAnsi="Garamond" w:cs="AppleSystemUIFont"/>
          <w:sz w:val="26"/>
          <w:szCs w:val="26"/>
        </w:rPr>
        <w:t>technique should be avoided when interrogating a youthful suspect with low social maturity …” because such suspects “may not have the fortitude or confidence to challenge such evidence and depending on the nature of the crime, may become confused as to their own possible involvement if the police tell them evidence clearly indicates they committed the crime. Factors such as the adolescent's level of social responsibility and general maturity should be considered before fictitious evidence is introduced.” (</w:t>
      </w:r>
      <w:r w:rsidR="008F791F" w:rsidRPr="008308FF">
        <w:rPr>
          <w:rFonts w:ascii="Garamond" w:hAnsi="Garamond" w:cs="AppleSystemUIFont"/>
          <w:i/>
          <w:iCs/>
          <w:sz w:val="26"/>
          <w:szCs w:val="26"/>
        </w:rPr>
        <w:t>Elias V</w:t>
      </w:r>
      <w:r w:rsidR="008F791F" w:rsidRPr="00615E9A">
        <w:rPr>
          <w:rFonts w:ascii="Garamond" w:hAnsi="Garamond" w:cs="AppleSystemUIFont"/>
          <w:sz w:val="26"/>
          <w:szCs w:val="26"/>
        </w:rPr>
        <w:t xml:space="preserve">., </w:t>
      </w:r>
      <w:r w:rsidR="008F791F" w:rsidRPr="008308FF">
        <w:rPr>
          <w:rFonts w:ascii="Garamond" w:hAnsi="Garamond" w:cs="AppleSystemUIFont"/>
          <w:i/>
          <w:iCs/>
          <w:sz w:val="26"/>
          <w:szCs w:val="26"/>
        </w:rPr>
        <w:t>supra</w:t>
      </w:r>
      <w:r w:rsidR="008F791F" w:rsidRPr="00615E9A">
        <w:rPr>
          <w:rFonts w:ascii="Garamond" w:hAnsi="Garamond" w:cs="AppleSystemUIFont"/>
          <w:sz w:val="26"/>
          <w:szCs w:val="26"/>
        </w:rPr>
        <w:t xml:space="preserve">, 237 Cal.App.4th at p. 588, citing </w:t>
      </w:r>
      <w:r w:rsidR="008F791F" w:rsidRPr="008308FF">
        <w:rPr>
          <w:rFonts w:ascii="Garamond" w:hAnsi="Garamond" w:cs="AppleSystemUIFont"/>
          <w:sz w:val="26"/>
          <w:szCs w:val="26"/>
        </w:rPr>
        <w:t xml:space="preserve">Inbau </w:t>
      </w:r>
      <w:r w:rsidR="008F791F">
        <w:rPr>
          <w:rFonts w:ascii="Garamond" w:hAnsi="Garamond" w:cs="AppleSystemUIFont"/>
          <w:sz w:val="26"/>
          <w:szCs w:val="26"/>
        </w:rPr>
        <w:t>and Reid</w:t>
      </w:r>
      <w:r w:rsidR="008F791F" w:rsidRPr="008308FF">
        <w:rPr>
          <w:rFonts w:ascii="Garamond" w:hAnsi="Garamond" w:cs="AppleSystemUIFont"/>
          <w:sz w:val="26"/>
          <w:szCs w:val="26"/>
        </w:rPr>
        <w:t>, Criminal Interrogation and Confessions (5th ed. 2013)</w:t>
      </w:r>
      <w:r w:rsidR="008F791F">
        <w:rPr>
          <w:rFonts w:ascii="Garamond" w:hAnsi="Garamond" w:cs="AppleSystemUIFont"/>
          <w:sz w:val="26"/>
          <w:szCs w:val="26"/>
        </w:rPr>
        <w:t>, at p.</w:t>
      </w:r>
      <w:r w:rsidR="008F791F" w:rsidRPr="00615E9A">
        <w:rPr>
          <w:rFonts w:ascii="Garamond" w:hAnsi="Garamond" w:cs="AppleSystemUIFont"/>
          <w:sz w:val="26"/>
          <w:szCs w:val="26"/>
        </w:rPr>
        <w:t xml:space="preserve"> 255.)</w:t>
      </w:r>
    </w:p>
    <w:p w14:paraId="7B258E06" w14:textId="2CCD77CA" w:rsidR="008F791F" w:rsidRPr="00615E9A" w:rsidRDefault="008F791F" w:rsidP="00AD18AA">
      <w:pPr>
        <w:ind w:firstLine="720"/>
        <w:rPr>
          <w:rFonts w:ascii="Garamond" w:hAnsi="Garamond" w:cs="AppleSystemUIFont"/>
          <w:b/>
          <w:bCs/>
          <w:sz w:val="26"/>
          <w:szCs w:val="26"/>
        </w:rPr>
      </w:pPr>
      <w:r>
        <w:rPr>
          <w:rFonts w:ascii="Garamond" w:hAnsi="Garamond" w:cs="AppleSystemUIFont"/>
          <w:b/>
          <w:bCs/>
          <w:sz w:val="26"/>
          <w:szCs w:val="26"/>
        </w:rPr>
        <w:t>2</w:t>
      </w:r>
      <w:r w:rsidR="00AD18AA">
        <w:rPr>
          <w:rFonts w:ascii="Garamond" w:hAnsi="Garamond" w:cs="AppleSystemUIFont"/>
          <w:b/>
          <w:bCs/>
          <w:sz w:val="26"/>
          <w:szCs w:val="26"/>
        </w:rPr>
        <w:t>.</w:t>
      </w:r>
      <w:r w:rsidR="00AD18AA">
        <w:rPr>
          <w:rFonts w:ascii="Garamond" w:hAnsi="Garamond" w:cs="AppleSystemUIFont"/>
          <w:b/>
          <w:bCs/>
          <w:sz w:val="26"/>
          <w:szCs w:val="26"/>
        </w:rPr>
        <w:tab/>
      </w:r>
      <w:r w:rsidRPr="00615E9A">
        <w:rPr>
          <w:rFonts w:ascii="Garamond" w:hAnsi="Garamond" w:cs="AppleSystemUIFont"/>
          <w:b/>
          <w:bCs/>
          <w:sz w:val="26"/>
          <w:szCs w:val="26"/>
        </w:rPr>
        <w:t>Juveniles and false confessions</w:t>
      </w:r>
    </w:p>
    <w:p w14:paraId="6AC68299" w14:textId="77777777" w:rsidR="008F791F" w:rsidRPr="00615E9A" w:rsidRDefault="008F791F" w:rsidP="008F791F">
      <w:pPr>
        <w:rPr>
          <w:rFonts w:ascii="Garamond" w:hAnsi="Garamond" w:cs="AppleSystemUIFont"/>
          <w:sz w:val="26"/>
          <w:szCs w:val="26"/>
        </w:rPr>
      </w:pPr>
      <w:r w:rsidRPr="00615E9A">
        <w:rPr>
          <w:rFonts w:ascii="Garamond" w:hAnsi="Garamond" w:cs="AppleSystemUIFont"/>
          <w:sz w:val="26"/>
          <w:szCs w:val="26"/>
        </w:rPr>
        <w:t xml:space="preserve">It has been estimated that about two-thirds of police executives in this nation have had training in the “Reid Technique.” (Zalman &amp; Smith, </w:t>
      </w:r>
      <w:r w:rsidRPr="00954A2E">
        <w:rPr>
          <w:rFonts w:ascii="Garamond" w:hAnsi="Garamond" w:cs="AppleSystemUIFont"/>
          <w:i/>
          <w:sz w:val="26"/>
          <w:szCs w:val="26"/>
        </w:rPr>
        <w:t xml:space="preserve">The Attitudes of Police Executives Toward Miranda and Interrogation Policies </w:t>
      </w:r>
      <w:r w:rsidRPr="00615E9A">
        <w:rPr>
          <w:rFonts w:ascii="Garamond" w:hAnsi="Garamond" w:cs="AppleSystemUIFont"/>
          <w:sz w:val="26"/>
          <w:szCs w:val="26"/>
        </w:rPr>
        <w:t>(2007) 97 J. Crim. L. &amp; Criminology 873, 920.) (</w:t>
      </w:r>
      <w:r w:rsidRPr="00970D4C">
        <w:rPr>
          <w:rFonts w:ascii="Garamond" w:hAnsi="Garamond" w:cs="AppleSystemUIFont"/>
          <w:i/>
          <w:iCs/>
          <w:sz w:val="26"/>
          <w:szCs w:val="26"/>
        </w:rPr>
        <w:t>Elias V.</w:t>
      </w:r>
      <w:r>
        <w:rPr>
          <w:rFonts w:ascii="Garamond" w:hAnsi="Garamond" w:cs="AppleSystemUIFont"/>
          <w:sz w:val="26"/>
          <w:szCs w:val="26"/>
        </w:rPr>
        <w:t xml:space="preserve">, </w:t>
      </w:r>
      <w:r>
        <w:rPr>
          <w:rFonts w:ascii="Garamond" w:hAnsi="Garamond" w:cs="AppleSystemUIFont"/>
          <w:i/>
          <w:iCs/>
          <w:sz w:val="26"/>
          <w:szCs w:val="26"/>
        </w:rPr>
        <w:t>supra</w:t>
      </w:r>
      <w:r>
        <w:rPr>
          <w:rFonts w:ascii="Garamond" w:hAnsi="Garamond" w:cs="AppleSystemUIFont"/>
          <w:sz w:val="26"/>
          <w:szCs w:val="26"/>
        </w:rPr>
        <w:t xml:space="preserve">, </w:t>
      </w:r>
      <w:r w:rsidRPr="00615E9A">
        <w:rPr>
          <w:rFonts w:ascii="Garamond" w:hAnsi="Garamond" w:cs="AppleSystemUIFont"/>
          <w:sz w:val="26"/>
          <w:szCs w:val="26"/>
        </w:rPr>
        <w:t xml:space="preserve">237 Cal.App.4th </w:t>
      </w:r>
      <w:r>
        <w:rPr>
          <w:rFonts w:ascii="Garamond" w:hAnsi="Garamond" w:cs="AppleSystemUIFont"/>
          <w:sz w:val="26"/>
          <w:szCs w:val="26"/>
        </w:rPr>
        <w:t>at p.</w:t>
      </w:r>
      <w:r w:rsidRPr="00615E9A">
        <w:rPr>
          <w:rFonts w:ascii="Garamond" w:hAnsi="Garamond" w:cs="AppleSystemUIFont"/>
          <w:sz w:val="26"/>
          <w:szCs w:val="26"/>
        </w:rPr>
        <w:t xml:space="preserve"> 579.)</w:t>
      </w:r>
      <w:r w:rsidRPr="00615E9A">
        <w:rPr>
          <w:rStyle w:val="FootnoteReference"/>
          <w:rFonts w:ascii="Garamond" w:hAnsi="Garamond" w:cs="AppleSystemUIFont"/>
          <w:sz w:val="26"/>
          <w:szCs w:val="26"/>
        </w:rPr>
        <w:footnoteReference w:id="43"/>
      </w:r>
    </w:p>
    <w:p w14:paraId="5C8D22B0" w14:textId="77777777" w:rsidR="008F791F" w:rsidRPr="00615E9A" w:rsidRDefault="008F791F" w:rsidP="008F791F">
      <w:pPr>
        <w:rPr>
          <w:rFonts w:ascii="Garamond" w:hAnsi="Garamond" w:cs="AppleSystemUIFont"/>
          <w:sz w:val="26"/>
          <w:szCs w:val="26"/>
        </w:rPr>
      </w:pPr>
      <w:r w:rsidRPr="00615E9A">
        <w:rPr>
          <w:rFonts w:ascii="Garamond" w:hAnsi="Garamond" w:cs="AppleSystemUIFont"/>
          <w:sz w:val="26"/>
          <w:szCs w:val="26"/>
        </w:rPr>
        <w:t>“Estimates of false confessions as the leading cause of error in wrongful convictions range from 14 to 25 percent, and . . .  a disproportionate number of false confession cases involve juveniles. Recent research has shown that more than one-third (35 percent) of proven false confessions were obtained from suspects under the age of 18.” (</w:t>
      </w:r>
      <w:r w:rsidRPr="00900D25">
        <w:rPr>
          <w:rFonts w:ascii="Garamond" w:hAnsi="Garamond" w:cs="AppleSystemUIFont"/>
          <w:i/>
          <w:iCs/>
          <w:sz w:val="26"/>
          <w:szCs w:val="26"/>
        </w:rPr>
        <w:t>Elias V.</w:t>
      </w:r>
      <w:r w:rsidRPr="00615E9A">
        <w:rPr>
          <w:rFonts w:ascii="Garamond" w:hAnsi="Garamond" w:cs="AppleSystemUIFont"/>
          <w:sz w:val="26"/>
          <w:szCs w:val="26"/>
        </w:rPr>
        <w:t xml:space="preserve">, </w:t>
      </w:r>
      <w:r w:rsidRPr="00900D25">
        <w:rPr>
          <w:rFonts w:ascii="Garamond" w:hAnsi="Garamond" w:cs="AppleSystemUIFont"/>
          <w:i/>
          <w:iCs/>
          <w:sz w:val="26"/>
          <w:szCs w:val="26"/>
        </w:rPr>
        <w:t>supra</w:t>
      </w:r>
      <w:r w:rsidRPr="00615E9A">
        <w:rPr>
          <w:rFonts w:ascii="Garamond" w:hAnsi="Garamond" w:cs="AppleSystemUIFont"/>
          <w:sz w:val="26"/>
          <w:szCs w:val="26"/>
        </w:rPr>
        <w:t xml:space="preserve">, 237 Cal.App.4th at p. 578, citing Drizin &amp; Leo, </w:t>
      </w:r>
      <w:r w:rsidRPr="006226E9">
        <w:rPr>
          <w:rFonts w:ascii="Garamond" w:hAnsi="Garamond" w:cs="AppleSystemUIFont"/>
          <w:i/>
          <w:iCs/>
          <w:sz w:val="26"/>
          <w:szCs w:val="26"/>
        </w:rPr>
        <w:t>The Problem of False Confessions in the Post-DNA World</w:t>
      </w:r>
      <w:r w:rsidRPr="00615E9A">
        <w:rPr>
          <w:rFonts w:ascii="Garamond" w:hAnsi="Garamond" w:cs="AppleSystemUIFont"/>
          <w:sz w:val="26"/>
          <w:szCs w:val="26"/>
        </w:rPr>
        <w:t xml:space="preserve"> (2004) 82 N.C. L.Rev. 891, 902, 944–945, fn. 5.)</w:t>
      </w:r>
    </w:p>
    <w:p w14:paraId="2D78A490" w14:textId="77777777" w:rsidR="008F791F" w:rsidRPr="00615E9A" w:rsidRDefault="008F791F" w:rsidP="008F791F">
      <w:pPr>
        <w:rPr>
          <w:rFonts w:ascii="Garamond" w:hAnsi="Garamond" w:cs="AppleSystemUIFont"/>
          <w:sz w:val="26"/>
          <w:szCs w:val="26"/>
        </w:rPr>
      </w:pPr>
      <w:r w:rsidRPr="00615E9A">
        <w:rPr>
          <w:rFonts w:ascii="Garamond" w:hAnsi="Garamond" w:cs="AppleSystemUIFont"/>
          <w:sz w:val="26"/>
          <w:szCs w:val="26"/>
        </w:rPr>
        <w:t>“A convincing body of evidence demonstrates that implicit promises can put vulnerable innocents at risk to confess by encouraging them to think that the only way to lessen or escape punishment is compliance with the interrogator's demand for confession, especially when minimization is used on suspects who are also led to believe that their continued denial is futile and prosecution inevitable.</w:t>
      </w:r>
      <w:r>
        <w:rPr>
          <w:rFonts w:ascii="Garamond" w:hAnsi="Garamond" w:cs="AppleSystemUIFont"/>
          <w:sz w:val="26"/>
          <w:szCs w:val="26"/>
        </w:rPr>
        <w:t>”</w:t>
      </w:r>
      <w:r w:rsidRPr="00615E9A">
        <w:rPr>
          <w:rFonts w:ascii="Garamond" w:hAnsi="Garamond" w:cs="AppleSystemUIFont"/>
          <w:sz w:val="26"/>
          <w:szCs w:val="26"/>
        </w:rPr>
        <w:t xml:space="preserve"> (</w:t>
      </w:r>
      <w:r w:rsidRPr="00900D25">
        <w:rPr>
          <w:rFonts w:ascii="Garamond" w:hAnsi="Garamond" w:cs="AppleSystemUIFont"/>
          <w:i/>
          <w:iCs/>
          <w:sz w:val="26"/>
          <w:szCs w:val="26"/>
        </w:rPr>
        <w:t>Elias V.</w:t>
      </w:r>
      <w:r w:rsidRPr="00615E9A">
        <w:rPr>
          <w:rFonts w:ascii="Garamond" w:hAnsi="Garamond" w:cs="AppleSystemUIFont"/>
          <w:sz w:val="26"/>
          <w:szCs w:val="26"/>
        </w:rPr>
        <w:t xml:space="preserve">, </w:t>
      </w:r>
      <w:r w:rsidRPr="00900D25">
        <w:rPr>
          <w:rFonts w:ascii="Garamond" w:hAnsi="Garamond" w:cs="AppleSystemUIFont"/>
          <w:i/>
          <w:iCs/>
          <w:sz w:val="26"/>
          <w:szCs w:val="26"/>
        </w:rPr>
        <w:t>supra</w:t>
      </w:r>
      <w:r w:rsidRPr="00615E9A">
        <w:rPr>
          <w:rFonts w:ascii="Garamond" w:hAnsi="Garamond" w:cs="AppleSystemUIFont"/>
          <w:sz w:val="26"/>
          <w:szCs w:val="26"/>
        </w:rPr>
        <w:t xml:space="preserve">, 237 Cal.App.4th at p. 583, citing </w:t>
      </w:r>
      <w:r w:rsidRPr="00950741">
        <w:rPr>
          <w:rFonts w:ascii="Garamond" w:hAnsi="Garamond" w:cs="AppleSystemUIFont"/>
          <w:sz w:val="26"/>
          <w:szCs w:val="26"/>
        </w:rPr>
        <w:t xml:space="preserve">Ofshe &amp; Leo, </w:t>
      </w:r>
      <w:r w:rsidRPr="00950741">
        <w:rPr>
          <w:rFonts w:ascii="Garamond" w:hAnsi="Garamond" w:cs="AppleSystemUIFont"/>
          <w:i/>
          <w:iCs/>
          <w:sz w:val="26"/>
          <w:szCs w:val="26"/>
        </w:rPr>
        <w:t>The Decision to Confess Falsely: Rational Choice and Irrational Action</w:t>
      </w:r>
      <w:r w:rsidRPr="00950741">
        <w:rPr>
          <w:rFonts w:ascii="Garamond" w:hAnsi="Garamond" w:cs="AppleSystemUIFont"/>
          <w:sz w:val="26"/>
          <w:szCs w:val="26"/>
        </w:rPr>
        <w:t xml:space="preserve"> (1997) 74 </w:t>
      </w:r>
      <w:r w:rsidR="008B3619" w:rsidRPr="00950741">
        <w:rPr>
          <w:rFonts w:ascii="Garamond" w:hAnsi="Garamond" w:cs="AppleSystemUIFont"/>
          <w:sz w:val="26"/>
          <w:szCs w:val="26"/>
        </w:rPr>
        <w:t>Denv.</w:t>
      </w:r>
      <w:r w:rsidR="008B3619">
        <w:rPr>
          <w:rFonts w:ascii="Garamond" w:hAnsi="Garamond" w:cs="AppleSystemUIFont"/>
          <w:sz w:val="26"/>
          <w:szCs w:val="26"/>
        </w:rPr>
        <w:t xml:space="preserve"> </w:t>
      </w:r>
      <w:r w:rsidR="008B3619" w:rsidRPr="00950741">
        <w:rPr>
          <w:rFonts w:ascii="Garamond" w:hAnsi="Garamond" w:cs="AppleSystemUIFont"/>
          <w:sz w:val="26"/>
          <w:szCs w:val="26"/>
        </w:rPr>
        <w:t>U.</w:t>
      </w:r>
      <w:r w:rsidRPr="00950741">
        <w:rPr>
          <w:rFonts w:ascii="Garamond" w:hAnsi="Garamond" w:cs="AppleSystemUIFont"/>
          <w:sz w:val="26"/>
          <w:szCs w:val="26"/>
        </w:rPr>
        <w:t xml:space="preserve"> L.Rev. 979, 981–982</w:t>
      </w:r>
      <w:r w:rsidRPr="00615E9A">
        <w:rPr>
          <w:rFonts w:ascii="Garamond" w:hAnsi="Garamond" w:cs="AppleSystemUIFont"/>
          <w:sz w:val="26"/>
          <w:szCs w:val="26"/>
        </w:rPr>
        <w:t xml:space="preserve">; </w:t>
      </w:r>
      <w:r w:rsidRPr="00950741">
        <w:rPr>
          <w:rFonts w:ascii="Garamond" w:hAnsi="Garamond" w:cs="AppleSystemUIFont"/>
          <w:sz w:val="26"/>
          <w:szCs w:val="26"/>
        </w:rPr>
        <w:t xml:space="preserve">Kassin &amp; Gudjonsson, </w:t>
      </w:r>
      <w:r w:rsidRPr="00950741">
        <w:rPr>
          <w:rFonts w:ascii="Garamond" w:hAnsi="Garamond" w:cs="AppleSystemUIFont"/>
          <w:i/>
          <w:iCs/>
          <w:sz w:val="26"/>
          <w:szCs w:val="26"/>
        </w:rPr>
        <w:t xml:space="preserve">The Psychology of Confessions: A Review of the Literature and Issues </w:t>
      </w:r>
      <w:r w:rsidRPr="00950741">
        <w:rPr>
          <w:rFonts w:ascii="Garamond" w:hAnsi="Garamond" w:cs="AppleSystemUIFont"/>
          <w:sz w:val="26"/>
          <w:szCs w:val="26"/>
        </w:rPr>
        <w:t>(Nov. 2004) 5 Psychol. Sci. Pub. Int. 33</w:t>
      </w:r>
      <w:r w:rsidRPr="00615E9A">
        <w:rPr>
          <w:rFonts w:ascii="Garamond" w:hAnsi="Garamond" w:cs="AppleSystemUIFont"/>
          <w:sz w:val="26"/>
          <w:szCs w:val="26"/>
        </w:rPr>
        <w:t xml:space="preserve">; Kassin &amp; McCall, </w:t>
      </w:r>
      <w:r w:rsidRPr="006226E9">
        <w:rPr>
          <w:rFonts w:ascii="Garamond" w:hAnsi="Garamond" w:cs="AppleSystemUIFont"/>
          <w:i/>
          <w:iCs/>
          <w:sz w:val="26"/>
          <w:szCs w:val="26"/>
        </w:rPr>
        <w:t>Police Interrogations and Confessions: Communicating Promises and Threats by Pragmatic Implication</w:t>
      </w:r>
      <w:r w:rsidRPr="00615E9A">
        <w:rPr>
          <w:rFonts w:ascii="Garamond" w:hAnsi="Garamond" w:cs="AppleSystemUIFont"/>
          <w:sz w:val="26"/>
          <w:szCs w:val="26"/>
        </w:rPr>
        <w:t xml:space="preserve"> (1991) 15 Law &amp; Hum. Behav. 233; Kassin &amp; Keichel, </w:t>
      </w:r>
      <w:r w:rsidRPr="006226E9">
        <w:rPr>
          <w:rFonts w:ascii="Garamond" w:hAnsi="Garamond" w:cs="AppleSystemUIFont"/>
          <w:i/>
          <w:iCs/>
          <w:sz w:val="26"/>
          <w:szCs w:val="26"/>
        </w:rPr>
        <w:t>The Social Psychology of False Confessions; Compliance, Internalization, and Confabulation</w:t>
      </w:r>
      <w:r w:rsidRPr="00615E9A">
        <w:rPr>
          <w:rFonts w:ascii="Garamond" w:hAnsi="Garamond" w:cs="AppleSystemUIFont"/>
          <w:sz w:val="26"/>
          <w:szCs w:val="26"/>
        </w:rPr>
        <w:t xml:space="preserve"> (1996) 7 Psychol. Sci. 125; </w:t>
      </w:r>
      <w:r w:rsidRPr="00950741">
        <w:rPr>
          <w:rFonts w:ascii="Garamond" w:hAnsi="Garamond" w:cs="AppleSystemUIFont"/>
          <w:sz w:val="26"/>
          <w:szCs w:val="26"/>
        </w:rPr>
        <w:t xml:space="preserve">Kassin et al., </w:t>
      </w:r>
      <w:r w:rsidRPr="00950741">
        <w:rPr>
          <w:rFonts w:ascii="Garamond" w:hAnsi="Garamond" w:cs="AppleSystemUIFont"/>
          <w:i/>
          <w:iCs/>
          <w:sz w:val="26"/>
          <w:szCs w:val="26"/>
        </w:rPr>
        <w:t>Police-Induced Confessions: Risk Factors and Recommendations</w:t>
      </w:r>
      <w:r w:rsidRPr="00950741">
        <w:rPr>
          <w:rFonts w:ascii="Garamond" w:hAnsi="Garamond" w:cs="AppleSystemUIFont"/>
          <w:sz w:val="26"/>
          <w:szCs w:val="26"/>
        </w:rPr>
        <w:t xml:space="preserve"> (2010) 34 Law &amp; Hum. Behav. 3</w:t>
      </w:r>
      <w:r>
        <w:rPr>
          <w:rFonts w:ascii="Garamond" w:hAnsi="Garamond" w:cs="AppleSystemUIFont"/>
          <w:sz w:val="26"/>
          <w:szCs w:val="26"/>
        </w:rPr>
        <w:t xml:space="preserve">, </w:t>
      </w:r>
      <w:r w:rsidRPr="00615E9A">
        <w:rPr>
          <w:rFonts w:ascii="Garamond" w:hAnsi="Garamond" w:cs="AppleSystemUIFont"/>
          <w:sz w:val="26"/>
          <w:szCs w:val="26"/>
        </w:rPr>
        <w:t>12.)</w:t>
      </w:r>
    </w:p>
    <w:p w14:paraId="2E019ED9" w14:textId="0F37A3DB" w:rsidR="00A13DA0" w:rsidRDefault="008F791F" w:rsidP="008F791F">
      <w:pPr>
        <w:rPr>
          <w:rFonts w:ascii="Garamond" w:hAnsi="Garamond" w:cs="AppleSystemUIFont"/>
          <w:sz w:val="26"/>
          <w:szCs w:val="26"/>
        </w:rPr>
      </w:pPr>
      <w:r w:rsidRPr="00615E9A">
        <w:rPr>
          <w:rFonts w:ascii="Garamond" w:hAnsi="Garamond" w:cs="AppleSystemUIFont"/>
          <w:sz w:val="26"/>
          <w:szCs w:val="26"/>
        </w:rPr>
        <w:lastRenderedPageBreak/>
        <w:t xml:space="preserve">“The developing consensus about the dangers of interrogation has resulted from the growing number of studies showing that the risk interrogation will produce a false confession is significantly greater for juveniles than for adults; indeed, juveniles usually account for one-third of proven false confession cases. (See, e.g., </w:t>
      </w:r>
      <w:r w:rsidRPr="006226E9">
        <w:rPr>
          <w:rFonts w:ascii="Garamond" w:hAnsi="Garamond" w:cs="AppleSystemUIFont"/>
          <w:sz w:val="26"/>
          <w:szCs w:val="26"/>
        </w:rPr>
        <w:t xml:space="preserve">Redlich, </w:t>
      </w:r>
      <w:r w:rsidRPr="006226E9">
        <w:rPr>
          <w:rFonts w:ascii="Garamond" w:hAnsi="Garamond" w:cs="AppleSystemUIFont"/>
          <w:i/>
          <w:iCs/>
          <w:sz w:val="26"/>
          <w:szCs w:val="26"/>
        </w:rPr>
        <w:t>The Susceptibility of Juveniles to False Confessions and False Guilty Pleas</w:t>
      </w:r>
      <w:r w:rsidRPr="006226E9">
        <w:rPr>
          <w:rFonts w:ascii="Garamond" w:hAnsi="Garamond" w:cs="AppleSystemUIFont"/>
          <w:sz w:val="26"/>
          <w:szCs w:val="26"/>
        </w:rPr>
        <w:t xml:space="preserve"> (2010) 62 Rutgers L.Rev. 943, 952</w:t>
      </w:r>
      <w:r w:rsidRPr="00615E9A">
        <w:rPr>
          <w:rFonts w:ascii="Garamond" w:hAnsi="Garamond" w:cs="AppleSystemUIFont"/>
          <w:sz w:val="26"/>
          <w:szCs w:val="26"/>
        </w:rPr>
        <w:t xml:space="preserve">; </w:t>
      </w:r>
      <w:r w:rsidRPr="006226E9">
        <w:rPr>
          <w:rFonts w:ascii="Garamond" w:hAnsi="Garamond" w:cs="AppleSystemUIFont"/>
          <w:sz w:val="26"/>
          <w:szCs w:val="26"/>
        </w:rPr>
        <w:t xml:space="preserve">Feld, </w:t>
      </w:r>
      <w:r w:rsidRPr="006226E9">
        <w:rPr>
          <w:rFonts w:ascii="Garamond" w:hAnsi="Garamond" w:cs="AppleSystemUIFont"/>
          <w:i/>
          <w:iCs/>
          <w:sz w:val="26"/>
          <w:szCs w:val="26"/>
        </w:rPr>
        <w:t xml:space="preserve">Police Interrogation of Juveniles: An Empirical Study of Policy and Practice </w:t>
      </w:r>
      <w:r w:rsidRPr="006226E9">
        <w:rPr>
          <w:rFonts w:ascii="Garamond" w:hAnsi="Garamond" w:cs="AppleSystemUIFont"/>
          <w:sz w:val="26"/>
          <w:szCs w:val="26"/>
        </w:rPr>
        <w:t>(2006) 97 J. Crim. L. &amp; Criminology 219</w:t>
      </w:r>
      <w:r>
        <w:rPr>
          <w:rFonts w:ascii="Garamond" w:hAnsi="Garamond" w:cs="AppleSystemUIFont"/>
          <w:sz w:val="26"/>
          <w:szCs w:val="26"/>
        </w:rPr>
        <w:t>;</w:t>
      </w:r>
      <w:r w:rsidRPr="00615E9A">
        <w:rPr>
          <w:rFonts w:ascii="Garamond" w:hAnsi="Garamond" w:cs="AppleSystemUIFont"/>
          <w:sz w:val="26"/>
          <w:szCs w:val="26"/>
        </w:rPr>
        <w:t xml:space="preserve"> </w:t>
      </w:r>
      <w:r w:rsidRPr="006226E9">
        <w:rPr>
          <w:rFonts w:ascii="Garamond" w:hAnsi="Garamond" w:cs="AppleSystemUIFont"/>
          <w:i/>
          <w:iCs/>
          <w:sz w:val="26"/>
          <w:szCs w:val="26"/>
        </w:rPr>
        <w:t>False Confessions</w:t>
      </w:r>
      <w:r w:rsidRPr="00615E9A">
        <w:rPr>
          <w:rFonts w:ascii="Garamond" w:hAnsi="Garamond" w:cs="AppleSystemUIFont"/>
          <w:sz w:val="26"/>
          <w:szCs w:val="26"/>
        </w:rPr>
        <w:t xml:space="preserve">, </w:t>
      </w:r>
      <w:r w:rsidRPr="006226E9">
        <w:rPr>
          <w:rFonts w:ascii="Garamond" w:hAnsi="Garamond" w:cs="AppleSystemUIFont"/>
          <w:i/>
          <w:iCs/>
          <w:sz w:val="26"/>
          <w:szCs w:val="26"/>
        </w:rPr>
        <w:t>supra</w:t>
      </w:r>
      <w:r w:rsidRPr="00615E9A">
        <w:rPr>
          <w:rFonts w:ascii="Garamond" w:hAnsi="Garamond" w:cs="AppleSystemUIFont"/>
          <w:sz w:val="26"/>
          <w:szCs w:val="26"/>
        </w:rPr>
        <w:t xml:space="preserve">, 82 N.C. L.Rev. at p. 944; Gross et al., </w:t>
      </w:r>
      <w:r w:rsidRPr="006226E9">
        <w:rPr>
          <w:rFonts w:ascii="Garamond" w:hAnsi="Garamond" w:cs="AppleSystemUIFont"/>
          <w:i/>
          <w:iCs/>
          <w:sz w:val="26"/>
          <w:szCs w:val="26"/>
        </w:rPr>
        <w:t>Exonerations in the United States 1989 through 2003</w:t>
      </w:r>
      <w:r w:rsidRPr="00615E9A">
        <w:rPr>
          <w:rFonts w:ascii="Garamond" w:hAnsi="Garamond" w:cs="AppleSystemUIFont"/>
          <w:sz w:val="26"/>
          <w:szCs w:val="26"/>
        </w:rPr>
        <w:t xml:space="preserve"> (2005) 95 J. Crim. L. &amp; Criminology 523, 545; Redlich &amp; Kassin, </w:t>
      </w:r>
      <w:r w:rsidRPr="006226E9">
        <w:rPr>
          <w:rFonts w:ascii="Garamond" w:hAnsi="Garamond" w:cs="AppleSystemUIFont"/>
          <w:i/>
          <w:iCs/>
          <w:sz w:val="26"/>
          <w:szCs w:val="26"/>
        </w:rPr>
        <w:t>Police Interrogation and False Confessions: The Inherent Risk of Youth in Children as Victims, Witnesses, and Offenders: Psychological Science and the Law</w:t>
      </w:r>
      <w:r w:rsidRPr="00615E9A">
        <w:rPr>
          <w:rFonts w:ascii="Garamond" w:hAnsi="Garamond" w:cs="AppleSystemUIFont"/>
          <w:sz w:val="26"/>
          <w:szCs w:val="26"/>
        </w:rPr>
        <w:t xml:space="preserve"> (Bottoms et al., edits., 2009) pp. 275–276).” (</w:t>
      </w:r>
      <w:r w:rsidRPr="00900D25">
        <w:rPr>
          <w:rFonts w:ascii="Garamond" w:hAnsi="Garamond" w:cs="AppleSystemUIFont"/>
          <w:i/>
          <w:iCs/>
          <w:sz w:val="26"/>
          <w:szCs w:val="26"/>
        </w:rPr>
        <w:t>Elias V.</w:t>
      </w:r>
      <w:r w:rsidRPr="00615E9A">
        <w:rPr>
          <w:rFonts w:ascii="Garamond" w:hAnsi="Garamond" w:cs="AppleSystemUIFont"/>
          <w:sz w:val="26"/>
          <w:szCs w:val="26"/>
        </w:rPr>
        <w:t xml:space="preserve">, </w:t>
      </w:r>
      <w:r w:rsidRPr="00900D25">
        <w:rPr>
          <w:rFonts w:ascii="Garamond" w:hAnsi="Garamond" w:cs="AppleSystemUIFont"/>
          <w:i/>
          <w:iCs/>
          <w:sz w:val="26"/>
          <w:szCs w:val="26"/>
        </w:rPr>
        <w:t>supra</w:t>
      </w:r>
      <w:r w:rsidRPr="00615E9A">
        <w:rPr>
          <w:rFonts w:ascii="Garamond" w:hAnsi="Garamond" w:cs="AppleSystemUIFont"/>
          <w:sz w:val="26"/>
          <w:szCs w:val="26"/>
        </w:rPr>
        <w:t>, 237 Cal.App.4th at p. 583.)</w:t>
      </w:r>
    </w:p>
    <w:p w14:paraId="6495C4CD" w14:textId="7DFEB9BB" w:rsidR="00A13DA0" w:rsidRDefault="00A13DA0" w:rsidP="008F791F">
      <w:pPr>
        <w:rPr>
          <w:rFonts w:ascii="Garamond" w:hAnsi="Garamond" w:cs="AppleSystemUIFont"/>
          <w:sz w:val="26"/>
          <w:szCs w:val="26"/>
        </w:rPr>
      </w:pPr>
      <w:r>
        <w:rPr>
          <w:rFonts w:ascii="Garamond" w:hAnsi="Garamond" w:cs="AppleSystemUIFont"/>
          <w:sz w:val="26"/>
          <w:szCs w:val="26"/>
        </w:rPr>
        <w:t xml:space="preserve">The big takeaway from the data is clear: juveniles are particularly susceptible to manipulative interrogation techniques that are more likely to yield a false confession than the truth. Not only is this contrary to the purported purpose of the interrogation – to elicit the truth – it means that any incriminatory statements made by a juvenile offender in an interrogation situation are entirely suspect. Heavy use of this material is encouraged whenever your client’s interrogation-elicited statements are trying to be used against them.  </w:t>
      </w:r>
    </w:p>
    <w:p w14:paraId="30B026A1" w14:textId="0317A177" w:rsidR="008F791F" w:rsidRPr="009869B7" w:rsidRDefault="008F791F" w:rsidP="00AD18AA">
      <w:pPr>
        <w:keepNext/>
        <w:keepLines/>
        <w:ind w:firstLine="720"/>
        <w:rPr>
          <w:rFonts w:ascii="Garamond" w:hAnsi="Garamond" w:cs="AppleSystemUIFont"/>
          <w:b/>
          <w:bCs/>
          <w:sz w:val="26"/>
          <w:szCs w:val="26"/>
        </w:rPr>
      </w:pPr>
      <w:r w:rsidRPr="009869B7">
        <w:rPr>
          <w:rFonts w:ascii="Garamond" w:hAnsi="Garamond" w:cs="AppleSystemUIFont"/>
          <w:b/>
          <w:bCs/>
          <w:sz w:val="26"/>
          <w:szCs w:val="26"/>
        </w:rPr>
        <w:t>3.</w:t>
      </w:r>
      <w:r w:rsidR="00AD18AA">
        <w:rPr>
          <w:rFonts w:ascii="Garamond" w:hAnsi="Garamond" w:cs="AppleSystemUIFont"/>
          <w:b/>
          <w:bCs/>
          <w:sz w:val="26"/>
          <w:szCs w:val="26"/>
        </w:rPr>
        <w:tab/>
      </w:r>
      <w:r w:rsidRPr="009869B7">
        <w:rPr>
          <w:rFonts w:ascii="Garamond" w:hAnsi="Garamond" w:cs="AppleSystemUIFont"/>
          <w:b/>
          <w:bCs/>
          <w:sz w:val="26"/>
          <w:szCs w:val="26"/>
        </w:rPr>
        <w:t>Juveniles and reckless indifference</w:t>
      </w:r>
    </w:p>
    <w:p w14:paraId="70C6C3E7" w14:textId="77777777" w:rsidR="008F791F" w:rsidRDefault="008F791F" w:rsidP="00DD1299">
      <w:pPr>
        <w:keepNext/>
        <w:keepLines/>
        <w:rPr>
          <w:rFonts w:ascii="Garamond" w:hAnsi="Garamond" w:cs="AppleSystemUIFont"/>
          <w:sz w:val="26"/>
          <w:szCs w:val="26"/>
        </w:rPr>
      </w:pPr>
      <w:r>
        <w:rPr>
          <w:rFonts w:ascii="Garamond" w:hAnsi="Garamond" w:cs="AppleSystemUIFont"/>
          <w:sz w:val="26"/>
          <w:szCs w:val="26"/>
        </w:rPr>
        <w:t>The very recent case of</w:t>
      </w:r>
      <w:r w:rsidRPr="009869B7">
        <w:rPr>
          <w:rFonts w:ascii="Garamond" w:hAnsi="Garamond" w:cs="AppleSystemUIFont"/>
          <w:sz w:val="26"/>
          <w:szCs w:val="26"/>
        </w:rPr>
        <w:t xml:space="preserve"> </w:t>
      </w:r>
      <w:r w:rsidRPr="00916D6F">
        <w:rPr>
          <w:rFonts w:ascii="Garamond" w:hAnsi="Garamond" w:cs="AppleSystemUIFont"/>
          <w:i/>
          <w:sz w:val="26"/>
          <w:szCs w:val="26"/>
        </w:rPr>
        <w:t>In re Moore</w:t>
      </w:r>
      <w:r w:rsidRPr="009869B7">
        <w:rPr>
          <w:rFonts w:ascii="Garamond" w:hAnsi="Garamond" w:cs="AppleSystemUIFont"/>
          <w:sz w:val="26"/>
          <w:szCs w:val="26"/>
        </w:rPr>
        <w:t xml:space="preserve"> 2021 Cal.App.LEXIS 721, holds that age is a factor when determining whether a defendant acted with reckless indifference under </w:t>
      </w:r>
      <w:r w:rsidRPr="009869B7">
        <w:rPr>
          <w:rFonts w:ascii="Garamond" w:hAnsi="Garamond" w:cs="AppleSystemUIFont"/>
          <w:i/>
          <w:iCs/>
          <w:sz w:val="26"/>
          <w:szCs w:val="26"/>
        </w:rPr>
        <w:t>Banks</w:t>
      </w:r>
      <w:r w:rsidRPr="009869B7">
        <w:rPr>
          <w:rFonts w:ascii="Garamond" w:hAnsi="Garamond" w:cs="AppleSystemUIFont"/>
          <w:sz w:val="26"/>
          <w:szCs w:val="26"/>
        </w:rPr>
        <w:t>/</w:t>
      </w:r>
      <w:r w:rsidRPr="009869B7">
        <w:rPr>
          <w:rFonts w:ascii="Garamond" w:hAnsi="Garamond" w:cs="AppleSystemUIFont"/>
          <w:i/>
          <w:iCs/>
          <w:sz w:val="26"/>
          <w:szCs w:val="26"/>
        </w:rPr>
        <w:t>Clark</w:t>
      </w:r>
      <w:r w:rsidRPr="009869B7">
        <w:rPr>
          <w:rFonts w:ascii="Garamond" w:hAnsi="Garamond" w:cs="AppleSystemUIFont"/>
          <w:sz w:val="26"/>
          <w:szCs w:val="26"/>
        </w:rPr>
        <w:t xml:space="preserve">. This is </w:t>
      </w:r>
      <w:r>
        <w:rPr>
          <w:rFonts w:ascii="Garamond" w:hAnsi="Garamond" w:cs="AppleSystemUIFont"/>
          <w:sz w:val="26"/>
          <w:szCs w:val="26"/>
        </w:rPr>
        <w:t>very useful authority</w:t>
      </w:r>
      <w:r w:rsidRPr="009869B7">
        <w:rPr>
          <w:rFonts w:ascii="Garamond" w:hAnsi="Garamond" w:cs="AppleSystemUIFont"/>
          <w:sz w:val="26"/>
          <w:szCs w:val="26"/>
        </w:rPr>
        <w:t xml:space="preserve"> with </w:t>
      </w:r>
      <w:r>
        <w:rPr>
          <w:rFonts w:ascii="Garamond" w:hAnsi="Garamond" w:cs="AppleSystemUIFont"/>
          <w:sz w:val="26"/>
          <w:szCs w:val="26"/>
        </w:rPr>
        <w:t>Senate Bill No. 1437 and the numerous Penal Code section 1170.95 appeals out there.</w:t>
      </w:r>
    </w:p>
    <w:p w14:paraId="145677D2" w14:textId="77777777" w:rsidR="00C52230" w:rsidRPr="00C52230" w:rsidRDefault="00C52230" w:rsidP="00724C3A">
      <w:pPr>
        <w:pStyle w:val="ListParagraph"/>
        <w:numPr>
          <w:ilvl w:val="0"/>
          <w:numId w:val="1"/>
        </w:numPr>
        <w:ind w:left="720"/>
        <w:rPr>
          <w:rFonts w:ascii="Garamond" w:hAnsi="Garamond" w:cs="AppleSystemUIFont"/>
          <w:b/>
          <w:bCs/>
          <w:sz w:val="26"/>
          <w:szCs w:val="26"/>
        </w:rPr>
      </w:pPr>
      <w:r w:rsidRPr="00C52230">
        <w:rPr>
          <w:rFonts w:ascii="Garamond" w:hAnsi="Garamond" w:cs="AppleSystemUIFont"/>
          <w:b/>
          <w:bCs/>
          <w:sz w:val="26"/>
          <w:szCs w:val="26"/>
        </w:rPr>
        <w:t>Homelessness, self-defense</w:t>
      </w:r>
      <w:r w:rsidR="00D777AF">
        <w:rPr>
          <w:rFonts w:ascii="Garamond" w:hAnsi="Garamond" w:cs="AppleSystemUIFont"/>
          <w:b/>
          <w:bCs/>
          <w:sz w:val="26"/>
          <w:szCs w:val="26"/>
        </w:rPr>
        <w:t>, and imperfect s</w:t>
      </w:r>
      <w:r w:rsidRPr="00C52230">
        <w:rPr>
          <w:rFonts w:ascii="Garamond" w:hAnsi="Garamond" w:cs="AppleSystemUIFont"/>
          <w:b/>
          <w:bCs/>
          <w:sz w:val="26"/>
          <w:szCs w:val="26"/>
        </w:rPr>
        <w:t>elf-defense in homicide cases</w:t>
      </w:r>
    </w:p>
    <w:p w14:paraId="543F735A" w14:textId="77777777" w:rsidR="00C52230" w:rsidRDefault="00C52230" w:rsidP="00C52230">
      <w:pPr>
        <w:rPr>
          <w:rFonts w:ascii="Garamond" w:hAnsi="Garamond" w:cs="AppleSystemUIFont"/>
          <w:sz w:val="26"/>
          <w:szCs w:val="26"/>
        </w:rPr>
      </w:pPr>
      <w:r>
        <w:rPr>
          <w:rFonts w:ascii="Garamond" w:hAnsi="Garamond" w:cs="AppleSystemUIFont"/>
          <w:sz w:val="26"/>
          <w:szCs w:val="26"/>
        </w:rPr>
        <w:t xml:space="preserve">For an interesting perspective on the reasonableness of an actor’s belief in the need for self-defense when the actor is considered homeless, review the case of </w:t>
      </w:r>
      <w:r w:rsidRPr="00900D25">
        <w:rPr>
          <w:rFonts w:ascii="Garamond" w:hAnsi="Garamond" w:cs="AppleSystemUIFont"/>
          <w:i/>
          <w:iCs/>
          <w:sz w:val="26"/>
          <w:szCs w:val="26"/>
        </w:rPr>
        <w:t>People v. Sotelo-Urena</w:t>
      </w:r>
      <w:r>
        <w:rPr>
          <w:rFonts w:ascii="Garamond" w:hAnsi="Garamond" w:cs="AppleSystemUIFont"/>
          <w:sz w:val="26"/>
          <w:szCs w:val="26"/>
        </w:rPr>
        <w:t xml:space="preserve"> (2016)</w:t>
      </w:r>
      <w:r w:rsidRPr="00D21937">
        <w:rPr>
          <w:rFonts w:ascii="Garamond" w:hAnsi="Garamond" w:cs="AppleSystemUIFont"/>
          <w:sz w:val="26"/>
          <w:szCs w:val="26"/>
        </w:rPr>
        <w:t xml:space="preserve"> 4 Cal.App.5th 732</w:t>
      </w:r>
      <w:r>
        <w:rPr>
          <w:rFonts w:ascii="Garamond" w:hAnsi="Garamond" w:cs="AppleSystemUIFont"/>
          <w:sz w:val="26"/>
          <w:szCs w:val="26"/>
        </w:rPr>
        <w:t>, and the social science data employed in the decision.</w:t>
      </w:r>
    </w:p>
    <w:p w14:paraId="21392927" w14:textId="77777777" w:rsidR="00C52230" w:rsidRDefault="00C52230" w:rsidP="00C52230">
      <w:pPr>
        <w:rPr>
          <w:rFonts w:ascii="Garamond" w:hAnsi="Garamond" w:cs="AppleSystemUIFont"/>
          <w:sz w:val="26"/>
          <w:szCs w:val="26"/>
        </w:rPr>
      </w:pPr>
      <w:r>
        <w:rPr>
          <w:rFonts w:ascii="Garamond" w:hAnsi="Garamond" w:cs="AppleSystemUIFont"/>
          <w:sz w:val="26"/>
          <w:szCs w:val="26"/>
        </w:rPr>
        <w:t xml:space="preserve">Consider the following situation: There are two individuals in a camp outside Santa Cruz where unhoused persons typically reside. One night, these two individuals start arguing. The argument turns physical and one of the two loses their life. The other is charged with first degree murder. The defense at trial was self-defense or imperfect self-defense but the trial court excluded defense expert testimony on the realities of a homeless life and the associated heightened tendency to feel the need to defend oneself with lethal force. </w:t>
      </w:r>
    </w:p>
    <w:p w14:paraId="28EC6E66" w14:textId="77777777" w:rsidR="00C52230" w:rsidRPr="00C52230" w:rsidRDefault="00C52230" w:rsidP="00C52230">
      <w:pPr>
        <w:rPr>
          <w:rStyle w:val="ssleftalign"/>
          <w:rFonts w:ascii="Garamond" w:hAnsi="Garamond"/>
          <w:sz w:val="26"/>
          <w:szCs w:val="26"/>
        </w:rPr>
      </w:pPr>
      <w:r w:rsidRPr="00C52230">
        <w:rPr>
          <w:rFonts w:ascii="Garamond" w:hAnsi="Garamond" w:cs="AppleSystemUIFont"/>
          <w:sz w:val="26"/>
          <w:szCs w:val="26"/>
        </w:rPr>
        <w:t xml:space="preserve">This was essentially the </w:t>
      </w:r>
      <w:r w:rsidRPr="00C52230">
        <w:rPr>
          <w:rFonts w:ascii="Garamond" w:hAnsi="Garamond" w:cs="AppleSystemUIFont"/>
          <w:i/>
          <w:iCs/>
          <w:sz w:val="26"/>
          <w:szCs w:val="26"/>
        </w:rPr>
        <w:t>Sotelo-Urena</w:t>
      </w:r>
      <w:r w:rsidRPr="00C52230">
        <w:rPr>
          <w:rFonts w:ascii="Garamond" w:hAnsi="Garamond" w:cs="AppleSystemUIFont"/>
          <w:sz w:val="26"/>
          <w:szCs w:val="26"/>
        </w:rPr>
        <w:t xml:space="preserve"> case where the appellate court found </w:t>
      </w:r>
      <w:r w:rsidRPr="00C52230">
        <w:rPr>
          <w:rFonts w:ascii="Garamond" w:hAnsi="Garamond"/>
          <w:sz w:val="26"/>
          <w:szCs w:val="26"/>
        </w:rPr>
        <w:t xml:space="preserve">trial court error and the deprivation of the defendant’s constitutional right to present a complete defense by </w:t>
      </w:r>
      <w:r w:rsidRPr="00C52230">
        <w:rPr>
          <w:rFonts w:ascii="Garamond" w:hAnsi="Garamond"/>
          <w:sz w:val="26"/>
          <w:szCs w:val="26"/>
        </w:rPr>
        <w:lastRenderedPageBreak/>
        <w:t>excluding such expert testimony concerning chronic homelessness. (</w:t>
      </w:r>
      <w:r w:rsidRPr="00916D6F">
        <w:rPr>
          <w:rFonts w:ascii="Garamond" w:hAnsi="Garamond"/>
          <w:i/>
          <w:sz w:val="26"/>
          <w:szCs w:val="26"/>
        </w:rPr>
        <w:t>Sotelo-Urena</w:t>
      </w:r>
      <w:r w:rsidRPr="00C52230">
        <w:rPr>
          <w:rFonts w:ascii="Garamond" w:hAnsi="Garamond"/>
          <w:sz w:val="26"/>
          <w:szCs w:val="26"/>
        </w:rPr>
        <w:t xml:space="preserve">, </w:t>
      </w:r>
      <w:r w:rsidRPr="00916D6F">
        <w:rPr>
          <w:rFonts w:ascii="Garamond" w:hAnsi="Garamond"/>
          <w:i/>
          <w:sz w:val="26"/>
          <w:szCs w:val="26"/>
        </w:rPr>
        <w:t>supra</w:t>
      </w:r>
      <w:r w:rsidRPr="00C52230">
        <w:rPr>
          <w:rFonts w:ascii="Garamond" w:hAnsi="Garamond"/>
          <w:sz w:val="26"/>
          <w:szCs w:val="26"/>
        </w:rPr>
        <w:t>, 4 Cal.App.5th at p. 741.) The defendant was on trial for first degree murder where both he and the victim were homeless. (</w:t>
      </w:r>
      <w:r w:rsidRPr="00C52230">
        <w:rPr>
          <w:rFonts w:ascii="Garamond" w:hAnsi="Garamond"/>
          <w:i/>
          <w:iCs/>
          <w:sz w:val="26"/>
          <w:szCs w:val="26"/>
        </w:rPr>
        <w:t>Id</w:t>
      </w:r>
      <w:r w:rsidRPr="00C52230">
        <w:rPr>
          <w:rFonts w:ascii="Garamond" w:hAnsi="Garamond"/>
          <w:sz w:val="26"/>
          <w:szCs w:val="26"/>
        </w:rPr>
        <w:t xml:space="preserve">. at p. 736.) The trial court excluded expert testimony for the defense that </w:t>
      </w:r>
      <w:r w:rsidRPr="00C52230">
        <w:rPr>
          <w:rStyle w:val="ssleftalign"/>
          <w:rFonts w:ascii="Garamond" w:hAnsi="Garamond"/>
          <w:sz w:val="26"/>
          <w:szCs w:val="26"/>
        </w:rPr>
        <w:t>individuals who are chronically homeless, like defendant, are subjected to a high rate of violence by both housed and homeless individuals, and that the experience of living for years on the streets instills a perpetual fear of violence that would have affected the defendant’s belief in the need to defend himself with lethal force. (</w:t>
      </w:r>
      <w:r w:rsidRPr="00C52230">
        <w:rPr>
          <w:rStyle w:val="ssleftalign"/>
          <w:rFonts w:ascii="Garamond" w:hAnsi="Garamond"/>
          <w:i/>
          <w:iCs/>
          <w:sz w:val="26"/>
          <w:szCs w:val="26"/>
        </w:rPr>
        <w:t>Id</w:t>
      </w:r>
      <w:r w:rsidRPr="00C52230">
        <w:rPr>
          <w:rStyle w:val="ssleftalign"/>
          <w:rFonts w:ascii="Garamond" w:hAnsi="Garamond"/>
          <w:sz w:val="26"/>
          <w:szCs w:val="26"/>
        </w:rPr>
        <w:t>. at p. 742.) The reviewing court disagreed and reversed. (</w:t>
      </w:r>
      <w:r w:rsidRPr="00916D6F">
        <w:rPr>
          <w:rStyle w:val="ssleftalign"/>
          <w:rFonts w:ascii="Garamond" w:hAnsi="Garamond"/>
          <w:i/>
          <w:sz w:val="26"/>
          <w:szCs w:val="26"/>
        </w:rPr>
        <w:t>Id</w:t>
      </w:r>
      <w:r w:rsidRPr="00C52230">
        <w:rPr>
          <w:rStyle w:val="ssleftalign"/>
          <w:rFonts w:ascii="Garamond" w:hAnsi="Garamond"/>
          <w:sz w:val="26"/>
          <w:szCs w:val="26"/>
        </w:rPr>
        <w:t xml:space="preserve">. at p. 758.) </w:t>
      </w:r>
    </w:p>
    <w:p w14:paraId="1153FF7F" w14:textId="77777777" w:rsidR="00C52230" w:rsidRDefault="00C52230" w:rsidP="00C52230">
      <w:pPr>
        <w:rPr>
          <w:rFonts w:ascii="Garamond" w:hAnsi="Garamond"/>
          <w:sz w:val="26"/>
          <w:szCs w:val="26"/>
        </w:rPr>
      </w:pPr>
      <w:r w:rsidRPr="00C52230">
        <w:rPr>
          <w:rStyle w:val="ssleftalign"/>
          <w:rFonts w:ascii="Garamond" w:hAnsi="Garamond"/>
          <w:sz w:val="26"/>
          <w:szCs w:val="26"/>
        </w:rPr>
        <w:t xml:space="preserve">In finding trial court error, the </w:t>
      </w:r>
      <w:r w:rsidRPr="00C52230">
        <w:rPr>
          <w:rStyle w:val="ssleftalign"/>
          <w:rFonts w:ascii="Garamond" w:hAnsi="Garamond"/>
          <w:i/>
          <w:iCs/>
          <w:sz w:val="26"/>
          <w:szCs w:val="26"/>
        </w:rPr>
        <w:t>Sotelo-Urena</w:t>
      </w:r>
      <w:r w:rsidRPr="00C52230">
        <w:rPr>
          <w:rStyle w:val="ssleftalign"/>
          <w:rFonts w:ascii="Garamond" w:hAnsi="Garamond"/>
          <w:sz w:val="26"/>
          <w:szCs w:val="26"/>
        </w:rPr>
        <w:t xml:space="preserve"> court found that the expert testimony was relevant since it “would have helped the jury understand the situation from defendant's perspective, that is, from the perspective of a chronically homeless man who had recently been violently assaulted and was aggressively approached by someone he believed to be the assailant. It would have explained his heightened sensitivity to aggression and why he was inclined to react more acutely to the perceived threat.” (</w:t>
      </w:r>
      <w:r w:rsidRPr="00C52230">
        <w:rPr>
          <w:rStyle w:val="ssleftalign"/>
          <w:rFonts w:ascii="Garamond" w:hAnsi="Garamond"/>
          <w:i/>
          <w:iCs/>
          <w:sz w:val="26"/>
          <w:szCs w:val="26"/>
        </w:rPr>
        <w:t>Sotelo-Urena</w:t>
      </w:r>
      <w:r w:rsidRPr="00C52230">
        <w:rPr>
          <w:rStyle w:val="ssleftalign"/>
          <w:rFonts w:ascii="Garamond" w:hAnsi="Garamond"/>
          <w:sz w:val="26"/>
          <w:szCs w:val="26"/>
        </w:rPr>
        <w:t xml:space="preserve">, </w:t>
      </w:r>
      <w:r w:rsidRPr="00C52230">
        <w:rPr>
          <w:rStyle w:val="ssleftalign"/>
          <w:rFonts w:ascii="Garamond" w:hAnsi="Garamond"/>
          <w:i/>
          <w:iCs/>
          <w:sz w:val="26"/>
          <w:szCs w:val="26"/>
        </w:rPr>
        <w:t>supra</w:t>
      </w:r>
      <w:r w:rsidRPr="00C52230">
        <w:rPr>
          <w:rStyle w:val="ssleftalign"/>
          <w:rFonts w:ascii="Garamond" w:hAnsi="Garamond"/>
          <w:sz w:val="26"/>
          <w:szCs w:val="26"/>
        </w:rPr>
        <w:t>, 4 Cal.App.5th at p. 746.) The court described how “[s]</w:t>
      </w:r>
      <w:r w:rsidRPr="00C52230">
        <w:rPr>
          <w:rStyle w:val="ssrfcpassagedeactivated"/>
          <w:rFonts w:ascii="Garamond" w:hAnsi="Garamond"/>
          <w:sz w:val="26"/>
          <w:szCs w:val="26"/>
        </w:rPr>
        <w:t xml:space="preserve">tudies on chronic homelessness demonstrate that  . . . homeless individuals are victims of violent crime at a much higher rate than the general population. (See, e.g., </w:t>
      </w:r>
      <w:r w:rsidRPr="00C52230">
        <w:rPr>
          <w:rStyle w:val="ssrfcpassagedeactivated"/>
          <w:rFonts w:ascii="Garamond" w:hAnsi="Garamond"/>
          <w:i/>
          <w:iCs/>
          <w:sz w:val="26"/>
          <w:szCs w:val="26"/>
        </w:rPr>
        <w:t>In re Eichorn</w:t>
      </w:r>
      <w:r w:rsidRPr="00C52230">
        <w:rPr>
          <w:rStyle w:val="ssrfcpassagedeactivated"/>
          <w:rFonts w:ascii="Garamond" w:hAnsi="Garamond"/>
          <w:sz w:val="26"/>
          <w:szCs w:val="26"/>
        </w:rPr>
        <w:t xml:space="preserve"> (1998) 69 Cal.App.4th 382, 386 [“Homeless individuals were 10 times as likely to be victimized by crime than the average population.”].)” (</w:t>
      </w:r>
      <w:r w:rsidRPr="00C52230">
        <w:rPr>
          <w:rStyle w:val="ssrfcpassagedeactivated"/>
          <w:rFonts w:ascii="Garamond" w:hAnsi="Garamond"/>
          <w:i/>
          <w:iCs/>
          <w:sz w:val="26"/>
          <w:szCs w:val="26"/>
        </w:rPr>
        <w:t>Id</w:t>
      </w:r>
      <w:r w:rsidRPr="00C52230">
        <w:rPr>
          <w:rStyle w:val="ssrfcpassagedeactivated"/>
          <w:rFonts w:ascii="Garamond" w:hAnsi="Garamond"/>
          <w:sz w:val="26"/>
          <w:szCs w:val="26"/>
        </w:rPr>
        <w:t xml:space="preserve">. at p. 747.) In its opinion, the court referenced the </w:t>
      </w:r>
      <w:r w:rsidRPr="00C52230">
        <w:rPr>
          <w:rFonts w:ascii="Garamond" w:hAnsi="Garamond"/>
          <w:sz w:val="26"/>
          <w:szCs w:val="26"/>
        </w:rPr>
        <w:t>National Coalition for the Homeless (NCH) annual report (Vulnerable to Hate A Survey of Hate Crimes &amp; Violence Committed Against Homeless People in 2013), to provide statistics and also referenced a 2010 sociology review article on the nature of homelessness, victimization, and crime. (</w:t>
      </w:r>
      <w:r w:rsidRPr="00C52230">
        <w:rPr>
          <w:rFonts w:ascii="Garamond" w:hAnsi="Garamond"/>
          <w:i/>
          <w:iCs/>
          <w:sz w:val="26"/>
          <w:szCs w:val="26"/>
        </w:rPr>
        <w:t>Id</w:t>
      </w:r>
      <w:r w:rsidRPr="00C52230">
        <w:rPr>
          <w:rFonts w:ascii="Garamond" w:hAnsi="Garamond"/>
          <w:sz w:val="26"/>
          <w:szCs w:val="26"/>
        </w:rPr>
        <w:t xml:space="preserve">. at p. 748, citing Lee et al., </w:t>
      </w:r>
      <w:r w:rsidRPr="00E451EF">
        <w:rPr>
          <w:rFonts w:ascii="Garamond" w:hAnsi="Garamond"/>
          <w:i/>
          <w:sz w:val="26"/>
          <w:szCs w:val="26"/>
        </w:rPr>
        <w:t>The New Homelessness Revisited</w:t>
      </w:r>
      <w:r w:rsidRPr="00C52230">
        <w:rPr>
          <w:rFonts w:ascii="Garamond" w:hAnsi="Garamond"/>
          <w:sz w:val="26"/>
          <w:szCs w:val="26"/>
        </w:rPr>
        <w:t xml:space="preserve"> (2010) 36 Ann. Rev. Sociology, pp. 506–507.)</w:t>
      </w:r>
    </w:p>
    <w:p w14:paraId="7CCA3CF5" w14:textId="274F31C4" w:rsidR="00850016" w:rsidRDefault="00850016" w:rsidP="00C52230">
      <w:pPr>
        <w:rPr>
          <w:rFonts w:ascii="Garamond" w:hAnsi="Garamond"/>
          <w:sz w:val="26"/>
          <w:szCs w:val="26"/>
        </w:rPr>
      </w:pPr>
      <w:r>
        <w:rPr>
          <w:rFonts w:ascii="Garamond" w:hAnsi="Garamond"/>
          <w:sz w:val="26"/>
          <w:szCs w:val="26"/>
        </w:rPr>
        <w:t xml:space="preserve">Of course, information of this sort can be used in assault-type cases involving unhoused individuals, but perhaps that is not all. If an unhoused person’s general environment can been shown to impact their sense of danger, surely similar conclusions may have been reached regarding other populations of our society. For example, what about </w:t>
      </w:r>
      <w:r w:rsidR="004A0777">
        <w:rPr>
          <w:rFonts w:ascii="Garamond" w:hAnsi="Garamond"/>
          <w:sz w:val="26"/>
          <w:szCs w:val="26"/>
        </w:rPr>
        <w:t>individuals</w:t>
      </w:r>
      <w:r>
        <w:rPr>
          <w:rFonts w:ascii="Garamond" w:hAnsi="Garamond"/>
          <w:sz w:val="26"/>
          <w:szCs w:val="26"/>
        </w:rPr>
        <w:t xml:space="preserve"> incarcerated in prison – how may their sense of potential threat and thus the necessary level of response differ from the reasonable person standard? </w:t>
      </w:r>
      <w:r w:rsidR="00A557D3">
        <w:rPr>
          <w:rFonts w:ascii="Garamond" w:hAnsi="Garamond"/>
          <w:sz w:val="26"/>
          <w:szCs w:val="26"/>
        </w:rPr>
        <w:t>Your further research is encouraged</w:t>
      </w:r>
      <w:r>
        <w:rPr>
          <w:rFonts w:ascii="Garamond" w:hAnsi="Garamond"/>
          <w:sz w:val="26"/>
          <w:szCs w:val="26"/>
        </w:rPr>
        <w:t xml:space="preserve">.  </w:t>
      </w:r>
    </w:p>
    <w:p w14:paraId="5E7D66B4" w14:textId="2F019375" w:rsidR="00C52230" w:rsidRPr="00C52230" w:rsidRDefault="00452D39" w:rsidP="00724C3A">
      <w:pPr>
        <w:pStyle w:val="ListParagraph"/>
        <w:numPr>
          <w:ilvl w:val="0"/>
          <w:numId w:val="1"/>
        </w:numPr>
        <w:ind w:left="720"/>
        <w:rPr>
          <w:rFonts w:ascii="Garamond" w:hAnsi="Garamond"/>
          <w:b/>
          <w:sz w:val="26"/>
          <w:szCs w:val="26"/>
        </w:rPr>
      </w:pPr>
      <w:r>
        <w:rPr>
          <w:rFonts w:ascii="Garamond" w:hAnsi="Garamond"/>
          <w:b/>
          <w:sz w:val="26"/>
          <w:szCs w:val="26"/>
        </w:rPr>
        <w:t>Police use of f</w:t>
      </w:r>
      <w:r w:rsidR="00C52230" w:rsidRPr="00C52230">
        <w:rPr>
          <w:rFonts w:ascii="Garamond" w:hAnsi="Garamond"/>
          <w:b/>
          <w:sz w:val="26"/>
          <w:szCs w:val="26"/>
        </w:rPr>
        <w:t>orce:</w:t>
      </w:r>
      <w:r w:rsidR="003B14ED">
        <w:rPr>
          <w:rFonts w:ascii="Garamond" w:hAnsi="Garamond"/>
          <w:b/>
          <w:sz w:val="26"/>
          <w:szCs w:val="26"/>
        </w:rPr>
        <w:t xml:space="preserve"> </w:t>
      </w:r>
      <w:r>
        <w:rPr>
          <w:rFonts w:ascii="Garamond" w:hAnsi="Garamond"/>
          <w:b/>
          <w:sz w:val="26"/>
          <w:szCs w:val="26"/>
        </w:rPr>
        <w:t>h</w:t>
      </w:r>
      <w:r w:rsidR="003B14ED">
        <w:rPr>
          <w:rFonts w:ascii="Garamond" w:hAnsi="Garamond"/>
          <w:b/>
          <w:sz w:val="26"/>
          <w:szCs w:val="26"/>
        </w:rPr>
        <w:t xml:space="preserve">ow much is too much? </w:t>
      </w:r>
    </w:p>
    <w:p w14:paraId="57AAF1BA" w14:textId="77777777" w:rsidR="00713DEC" w:rsidRDefault="00C52230" w:rsidP="00C52230">
      <w:pPr>
        <w:rPr>
          <w:rFonts w:ascii="Garamond" w:hAnsi="Garamond"/>
          <w:sz w:val="26"/>
          <w:szCs w:val="26"/>
        </w:rPr>
      </w:pPr>
      <w:r w:rsidRPr="00C52230">
        <w:rPr>
          <w:rFonts w:ascii="Garamond" w:hAnsi="Garamond"/>
          <w:sz w:val="26"/>
          <w:szCs w:val="26"/>
        </w:rPr>
        <w:t xml:space="preserve">Whether it is resisting arrest case or a Fourth Amendment unreasonable seizure case, social science data, as well as police procedural information, could help sway your justices. </w:t>
      </w:r>
    </w:p>
    <w:p w14:paraId="2DB37FC1" w14:textId="20AFCD79" w:rsidR="00713DEC" w:rsidRDefault="00713DEC" w:rsidP="00C52230">
      <w:pPr>
        <w:rPr>
          <w:rFonts w:ascii="Garamond" w:hAnsi="Garamond"/>
          <w:sz w:val="26"/>
          <w:szCs w:val="26"/>
        </w:rPr>
      </w:pPr>
      <w:r>
        <w:rPr>
          <w:rFonts w:ascii="Garamond" w:hAnsi="Garamond"/>
          <w:sz w:val="26"/>
          <w:szCs w:val="26"/>
        </w:rPr>
        <w:lastRenderedPageBreak/>
        <w:t>Let’s look at a panel attorney’s recent resisting arrest case where they argued the evidence was insufficient to prove that the police officers’ use of force was reasonable.</w:t>
      </w:r>
      <w:r>
        <w:rPr>
          <w:rStyle w:val="FootnoteReference"/>
          <w:rFonts w:ascii="Garamond" w:hAnsi="Garamond"/>
          <w:sz w:val="26"/>
          <w:szCs w:val="26"/>
        </w:rPr>
        <w:footnoteReference w:id="44"/>
      </w:r>
      <w:r>
        <w:rPr>
          <w:rFonts w:ascii="Garamond" w:hAnsi="Garamond"/>
          <w:sz w:val="26"/>
          <w:szCs w:val="26"/>
        </w:rPr>
        <w:t xml:space="preserve"> The brief </w:t>
      </w:r>
      <w:r w:rsidRPr="00C52230">
        <w:rPr>
          <w:rFonts w:ascii="Garamond" w:hAnsi="Garamond"/>
          <w:sz w:val="26"/>
          <w:szCs w:val="26"/>
        </w:rPr>
        <w:t>used Department of Justice publications to argue that officers used excessive force when arresting their client. In that case officers displayed handguns, shot the defendant multiple times with a Taser, used a canine, and then wrestled the defendant to the ground.</w:t>
      </w:r>
    </w:p>
    <w:p w14:paraId="0BD9F0BE" w14:textId="3EB51E0F" w:rsidR="00C52230" w:rsidRPr="00C52230" w:rsidRDefault="00713DEC" w:rsidP="00C52230">
      <w:pPr>
        <w:rPr>
          <w:rFonts w:ascii="Garamond" w:hAnsi="Garamond"/>
          <w:sz w:val="26"/>
          <w:szCs w:val="26"/>
        </w:rPr>
      </w:pPr>
      <w:r w:rsidRPr="00713DEC">
        <w:rPr>
          <w:rFonts w:ascii="Garamond" w:hAnsi="Garamond"/>
          <w:sz w:val="26"/>
          <w:szCs w:val="26"/>
        </w:rPr>
        <w:t>The test for determining whether an officer used unreasonable or excessive force in making an arrest “is whether the amount of force the officers used in making the arrest was objectively unreasonable given the circumstances they faced.” (</w:t>
      </w:r>
      <w:proofErr w:type="spellStart"/>
      <w:r w:rsidRPr="00713DEC">
        <w:rPr>
          <w:rFonts w:ascii="Garamond" w:hAnsi="Garamond"/>
          <w:i/>
          <w:sz w:val="26"/>
          <w:szCs w:val="26"/>
        </w:rPr>
        <w:t>Allgoewer</w:t>
      </w:r>
      <w:proofErr w:type="spellEnd"/>
      <w:r w:rsidRPr="00713DEC">
        <w:rPr>
          <w:rFonts w:ascii="Garamond" w:hAnsi="Garamond"/>
          <w:i/>
          <w:sz w:val="26"/>
          <w:szCs w:val="26"/>
        </w:rPr>
        <w:t xml:space="preserve"> v. City of Tracy </w:t>
      </w:r>
      <w:r w:rsidRPr="00713DEC">
        <w:rPr>
          <w:rFonts w:ascii="Garamond" w:hAnsi="Garamond"/>
          <w:sz w:val="26"/>
          <w:szCs w:val="26"/>
        </w:rPr>
        <w:t>(2012) 207 Cal.App.4th 755, 763.) “An officer’s use of force is unreasonable if, judging from the totality of the circumstances at the time of the arrest, the officer uses greater force than was reasonably necessary to effectuate the arrest.” (</w:t>
      </w:r>
      <w:r w:rsidRPr="00713DEC">
        <w:rPr>
          <w:rFonts w:ascii="Garamond" w:hAnsi="Garamond"/>
          <w:i/>
          <w:sz w:val="26"/>
          <w:szCs w:val="26"/>
        </w:rPr>
        <w:t xml:space="preserve">Phillips v. </w:t>
      </w:r>
      <w:proofErr w:type="spellStart"/>
      <w:r w:rsidRPr="00713DEC">
        <w:rPr>
          <w:rFonts w:ascii="Garamond" w:hAnsi="Garamond"/>
          <w:i/>
          <w:sz w:val="26"/>
          <w:szCs w:val="26"/>
        </w:rPr>
        <w:t>Cmty</w:t>
      </w:r>
      <w:proofErr w:type="spellEnd"/>
      <w:r w:rsidRPr="00713DEC">
        <w:rPr>
          <w:rFonts w:ascii="Garamond" w:hAnsi="Garamond"/>
          <w:i/>
          <w:sz w:val="26"/>
          <w:szCs w:val="26"/>
        </w:rPr>
        <w:t>. Ins. Corp.</w:t>
      </w:r>
      <w:r w:rsidRPr="00713DEC">
        <w:rPr>
          <w:rFonts w:ascii="Garamond" w:hAnsi="Garamond"/>
          <w:sz w:val="26"/>
          <w:szCs w:val="26"/>
        </w:rPr>
        <w:t xml:space="preserve"> (7th Cir. 2012) 678 F.3d 513, 519.) Three primary factors are considered in determining the objective reasonableness of force: (1) the immediacy of the threat that the suspect posed to the officer; (2) the severity of the offense for which the suspect was arrested; and (3) whether the suspect was fleeing or actively resisting. (</w:t>
      </w:r>
      <w:r w:rsidRPr="00713DEC">
        <w:rPr>
          <w:rFonts w:ascii="Garamond" w:hAnsi="Garamond"/>
          <w:i/>
          <w:sz w:val="26"/>
          <w:szCs w:val="26"/>
        </w:rPr>
        <w:t>Graham v. Connor</w:t>
      </w:r>
      <w:r w:rsidRPr="00713DEC">
        <w:rPr>
          <w:rFonts w:ascii="Garamond" w:hAnsi="Garamond"/>
          <w:sz w:val="26"/>
          <w:szCs w:val="26"/>
        </w:rPr>
        <w:t xml:space="preserve"> (1989) 490 U.S. 386, 396.) </w:t>
      </w:r>
      <w:r w:rsidR="00C52230" w:rsidRPr="00C52230">
        <w:rPr>
          <w:rFonts w:ascii="Garamond" w:hAnsi="Garamond"/>
          <w:sz w:val="26"/>
          <w:szCs w:val="26"/>
        </w:rPr>
        <w:t>At the outset, it is helpful to identify the level of force used by the police at the time of the incident underlying your case.</w:t>
      </w:r>
    </w:p>
    <w:p w14:paraId="42F56B56" w14:textId="5160E8F2" w:rsidR="00C52230" w:rsidRPr="00C52230" w:rsidRDefault="00C52230" w:rsidP="00C52230">
      <w:pPr>
        <w:rPr>
          <w:rFonts w:ascii="Garamond" w:hAnsi="Garamond"/>
          <w:sz w:val="26"/>
          <w:szCs w:val="26"/>
        </w:rPr>
      </w:pPr>
      <w:r w:rsidRPr="00C52230">
        <w:rPr>
          <w:rFonts w:ascii="Garamond" w:hAnsi="Garamond"/>
          <w:sz w:val="26"/>
          <w:szCs w:val="26"/>
        </w:rPr>
        <w:t xml:space="preserve">Under the relevant </w:t>
      </w:r>
      <w:r w:rsidRPr="00916D6F">
        <w:rPr>
          <w:rFonts w:ascii="Garamond" w:hAnsi="Garamond"/>
          <w:i/>
          <w:sz w:val="26"/>
          <w:szCs w:val="26"/>
        </w:rPr>
        <w:t>Graham</w:t>
      </w:r>
      <w:r w:rsidR="00713DEC">
        <w:rPr>
          <w:rFonts w:ascii="Garamond" w:hAnsi="Garamond"/>
          <w:sz w:val="26"/>
          <w:szCs w:val="26"/>
        </w:rPr>
        <w:t xml:space="preserve"> factors </w:t>
      </w:r>
      <w:r w:rsidRPr="00C52230">
        <w:rPr>
          <w:rFonts w:ascii="Garamond" w:hAnsi="Garamond"/>
          <w:sz w:val="26"/>
          <w:szCs w:val="26"/>
        </w:rPr>
        <w:t xml:space="preserve">the argument that the police used excessive force was framed with reference to the Department of Justice’s own procedures. Here is the summary: </w:t>
      </w:r>
    </w:p>
    <w:p w14:paraId="5C239290" w14:textId="77777777" w:rsidR="00C52230" w:rsidRPr="00C52230" w:rsidRDefault="00C52230" w:rsidP="00713DEC">
      <w:pPr>
        <w:ind w:left="720"/>
        <w:rPr>
          <w:rFonts w:ascii="Garamond" w:hAnsi="Garamond"/>
          <w:sz w:val="26"/>
          <w:szCs w:val="26"/>
        </w:rPr>
      </w:pPr>
      <w:r w:rsidRPr="00C52230">
        <w:rPr>
          <w:rFonts w:ascii="Garamond" w:hAnsi="Garamond"/>
          <w:sz w:val="26"/>
          <w:szCs w:val="26"/>
        </w:rPr>
        <w:t>The Department of Justice has ranked 46 different uses of police force from the lowest level of force to the highest. (Garner, J, and Maxwell, C. Measuring the Amount of Force Used by and Against the Police in Six Jurisdictions. Washington, DC: Department of Justice, p. 42.) The lowest level of force is “Police Speak in Conversational Tone,” and the highest level of force is “Police Use Handgun.” (</w:t>
      </w:r>
      <w:r w:rsidRPr="00916D6F">
        <w:rPr>
          <w:rFonts w:ascii="Garamond" w:hAnsi="Garamond"/>
          <w:i/>
          <w:sz w:val="26"/>
          <w:szCs w:val="26"/>
        </w:rPr>
        <w:t>Ibid</w:t>
      </w:r>
      <w:r w:rsidRPr="00C52230">
        <w:rPr>
          <w:rFonts w:ascii="Garamond" w:hAnsi="Garamond"/>
          <w:sz w:val="26"/>
          <w:szCs w:val="26"/>
        </w:rPr>
        <w:t>.) Each of the officers’ choice of force in this case ranks at the far end of the level of force spectrum. Most severe was the officers’ display of handguns, which is a more severe use of force than 40 other types of force. (</w:t>
      </w:r>
      <w:r w:rsidRPr="00916D6F">
        <w:rPr>
          <w:rFonts w:ascii="Garamond" w:hAnsi="Garamond"/>
          <w:i/>
          <w:sz w:val="26"/>
          <w:szCs w:val="26"/>
        </w:rPr>
        <w:t>Ibid</w:t>
      </w:r>
      <w:r w:rsidRPr="00C52230">
        <w:rPr>
          <w:rFonts w:ascii="Garamond" w:hAnsi="Garamond"/>
          <w:sz w:val="26"/>
          <w:szCs w:val="26"/>
        </w:rPr>
        <w:t>.) In fact, the only uses of force more severe than displaying a handgun is employing a carotid hold and shooting the suspect with a gun. (</w:t>
      </w:r>
      <w:r w:rsidRPr="00916D6F">
        <w:rPr>
          <w:rFonts w:ascii="Garamond" w:hAnsi="Garamond"/>
          <w:i/>
          <w:sz w:val="26"/>
          <w:szCs w:val="26"/>
        </w:rPr>
        <w:t>Ibid</w:t>
      </w:r>
      <w:r w:rsidRPr="00C52230">
        <w:rPr>
          <w:rFonts w:ascii="Garamond" w:hAnsi="Garamond"/>
          <w:sz w:val="26"/>
          <w:szCs w:val="26"/>
        </w:rPr>
        <w:t>.) The officers’ use of the Taser and ballistic projectile is a more severe use of force than 39 other types of force. (</w:t>
      </w:r>
      <w:r w:rsidRPr="00916D6F">
        <w:rPr>
          <w:rFonts w:ascii="Garamond" w:hAnsi="Garamond"/>
          <w:i/>
          <w:sz w:val="26"/>
          <w:szCs w:val="26"/>
        </w:rPr>
        <w:t>Ibid</w:t>
      </w:r>
      <w:r w:rsidRPr="00C52230">
        <w:rPr>
          <w:rFonts w:ascii="Garamond" w:hAnsi="Garamond"/>
          <w:sz w:val="26"/>
          <w:szCs w:val="26"/>
        </w:rPr>
        <w:t>.) The officers’ use of the canine is more severe use of force than 36 other types of force. (</w:t>
      </w:r>
      <w:r w:rsidRPr="00916D6F">
        <w:rPr>
          <w:rFonts w:ascii="Garamond" w:hAnsi="Garamond"/>
          <w:i/>
          <w:sz w:val="26"/>
          <w:szCs w:val="26"/>
        </w:rPr>
        <w:t>Ibid</w:t>
      </w:r>
      <w:r w:rsidRPr="00C52230">
        <w:rPr>
          <w:rFonts w:ascii="Garamond" w:hAnsi="Garamond"/>
          <w:sz w:val="26"/>
          <w:szCs w:val="26"/>
        </w:rPr>
        <w:t xml:space="preserve">.) Thus, the record plainly shows that the officers here used multiple types of force that the Department of Justice considers among the most severe types of force police officers are permitted to use. Furthermore, the level of force used in this example was </w:t>
      </w:r>
      <w:r w:rsidRPr="00C52230">
        <w:rPr>
          <w:rFonts w:ascii="Garamond" w:hAnsi="Garamond"/>
          <w:sz w:val="26"/>
          <w:szCs w:val="26"/>
        </w:rPr>
        <w:lastRenderedPageBreak/>
        <w:t xml:space="preserve">amplified by the fact that a dozen police officers simultaneously used various methods of force against the defendant. </w:t>
      </w:r>
    </w:p>
    <w:p w14:paraId="5BBA93B9" w14:textId="19413D1D" w:rsidR="00C52230" w:rsidRPr="00C52230" w:rsidRDefault="00C52230" w:rsidP="00713DEC">
      <w:pPr>
        <w:ind w:left="720"/>
        <w:rPr>
          <w:rFonts w:ascii="Garamond" w:hAnsi="Garamond"/>
          <w:sz w:val="26"/>
          <w:szCs w:val="26"/>
        </w:rPr>
      </w:pPr>
      <w:r w:rsidRPr="00C52230">
        <w:rPr>
          <w:rFonts w:ascii="Garamond" w:hAnsi="Garamond"/>
          <w:sz w:val="26"/>
          <w:szCs w:val="26"/>
        </w:rPr>
        <w:t xml:space="preserve">The Department of Justice posited that a police officer might reasonably display a handgun or use a weapon against a suspect where the suspect acted with “violent or explosive resistance.” (Alpert, G. and Dunham, R. </w:t>
      </w:r>
      <w:r w:rsidRPr="00713DEC">
        <w:rPr>
          <w:rFonts w:ascii="Garamond" w:hAnsi="Garamond"/>
          <w:i/>
          <w:sz w:val="26"/>
          <w:szCs w:val="26"/>
        </w:rPr>
        <w:t>The Force Factor: Measuring and Assessing Police Use of Force and Suspect Resistance</w:t>
      </w:r>
      <w:r w:rsidR="00713DEC">
        <w:rPr>
          <w:rFonts w:ascii="Garamond" w:hAnsi="Garamond"/>
          <w:sz w:val="26"/>
          <w:szCs w:val="26"/>
        </w:rPr>
        <w:t>,</w:t>
      </w:r>
      <w:r w:rsidRPr="00C52230">
        <w:rPr>
          <w:rFonts w:ascii="Garamond" w:hAnsi="Garamond"/>
          <w:sz w:val="26"/>
          <w:szCs w:val="26"/>
        </w:rPr>
        <w:t xml:space="preserve"> Washington, DC: Department of Justice, p. 55.) In a case where the defendant did not act with “violent or explosive resistance” prior to the officers’ use of force, therefore, the officers’ use of handguns, other weapons, and canines was unreasonable and excessive. (Alpert, G. and Dunham, R. </w:t>
      </w:r>
      <w:r w:rsidRPr="00713DEC">
        <w:rPr>
          <w:rFonts w:ascii="Garamond" w:hAnsi="Garamond"/>
          <w:i/>
          <w:sz w:val="26"/>
          <w:szCs w:val="26"/>
        </w:rPr>
        <w:t xml:space="preserve">The Force Factor: Measuring and Assessing Police Use </w:t>
      </w:r>
      <w:r w:rsidR="00713DEC">
        <w:rPr>
          <w:rFonts w:ascii="Garamond" w:hAnsi="Garamond"/>
          <w:i/>
          <w:sz w:val="26"/>
          <w:szCs w:val="26"/>
        </w:rPr>
        <w:t>of Force and Suspect Resistance</w:t>
      </w:r>
      <w:r w:rsidR="00713DEC">
        <w:rPr>
          <w:rFonts w:ascii="Garamond" w:hAnsi="Garamond"/>
          <w:sz w:val="26"/>
          <w:szCs w:val="26"/>
        </w:rPr>
        <w:t>,</w:t>
      </w:r>
      <w:r w:rsidRPr="00713DEC">
        <w:rPr>
          <w:rFonts w:ascii="Garamond" w:hAnsi="Garamond"/>
          <w:i/>
          <w:sz w:val="26"/>
          <w:szCs w:val="26"/>
        </w:rPr>
        <w:t xml:space="preserve"> </w:t>
      </w:r>
      <w:r w:rsidRPr="00C52230">
        <w:rPr>
          <w:rFonts w:ascii="Garamond" w:hAnsi="Garamond"/>
          <w:sz w:val="26"/>
          <w:szCs w:val="26"/>
        </w:rPr>
        <w:t>Washington, DC: Department of Justice, p. 55.)</w:t>
      </w:r>
    </w:p>
    <w:p w14:paraId="1FC21240" w14:textId="77777777" w:rsidR="00C52230" w:rsidRDefault="00C52230" w:rsidP="00C52230">
      <w:pPr>
        <w:rPr>
          <w:rFonts w:ascii="Garamond" w:hAnsi="Garamond"/>
          <w:sz w:val="26"/>
          <w:szCs w:val="26"/>
        </w:rPr>
      </w:pPr>
      <w:r w:rsidRPr="00C52230">
        <w:rPr>
          <w:rFonts w:ascii="Garamond" w:hAnsi="Garamond"/>
          <w:sz w:val="26"/>
          <w:szCs w:val="26"/>
        </w:rPr>
        <w:t>Obviously, the facts are case-specific, but hopefully the example shows how extra-record citable information can be rather persuasive.</w:t>
      </w:r>
    </w:p>
    <w:p w14:paraId="7342E642" w14:textId="77777777" w:rsidR="00144DF5" w:rsidRPr="00144DF5" w:rsidRDefault="00144DF5" w:rsidP="00724C3A">
      <w:pPr>
        <w:pStyle w:val="ListParagraph"/>
        <w:numPr>
          <w:ilvl w:val="0"/>
          <w:numId w:val="1"/>
        </w:numPr>
        <w:ind w:left="720"/>
        <w:rPr>
          <w:rFonts w:ascii="Garamond" w:hAnsi="Garamond" w:cs="AppleSystemUIFont"/>
          <w:b/>
          <w:bCs/>
          <w:sz w:val="26"/>
          <w:szCs w:val="26"/>
        </w:rPr>
      </w:pPr>
      <w:r w:rsidRPr="00144DF5">
        <w:rPr>
          <w:rFonts w:ascii="Garamond" w:hAnsi="Garamond" w:cs="AppleSystemUIFont"/>
          <w:b/>
          <w:bCs/>
          <w:sz w:val="26"/>
          <w:szCs w:val="26"/>
        </w:rPr>
        <w:t>Dependency</w:t>
      </w:r>
    </w:p>
    <w:p w14:paraId="688856FA" w14:textId="77777777" w:rsidR="00144DF5" w:rsidRDefault="00144DF5" w:rsidP="00144DF5">
      <w:pPr>
        <w:rPr>
          <w:rFonts w:ascii="Garamond" w:hAnsi="Garamond" w:cs="AppleSystemUIFont"/>
          <w:sz w:val="26"/>
          <w:szCs w:val="26"/>
        </w:rPr>
      </w:pPr>
      <w:r>
        <w:rPr>
          <w:rFonts w:ascii="Garamond" w:hAnsi="Garamond" w:cs="AppleSystemUIFont"/>
          <w:sz w:val="26"/>
          <w:szCs w:val="26"/>
        </w:rPr>
        <w:t xml:space="preserve">There is a wealth of information available to enhance dependency briefing for many aspects of child dependency proceedings whether you are representing parents or minors. The problem or advantage (depending on your perspective) of the dependency scheme is its purely statutory roots. The benefit of this is that the laws may change as the science evolves. The downside of this is the time it may take for the law to catch up to the science. Accordingly, consider including reference to current research in your briefing. </w:t>
      </w:r>
    </w:p>
    <w:p w14:paraId="517DAF54" w14:textId="0927AE7D" w:rsidR="00144DF5" w:rsidRPr="00F347CE" w:rsidRDefault="00AD18AA" w:rsidP="00AD18AA">
      <w:pPr>
        <w:rPr>
          <w:rFonts w:ascii="Garamond" w:hAnsi="Garamond" w:cs="AppleSystemUIFont"/>
          <w:b/>
          <w:bCs/>
          <w:sz w:val="26"/>
          <w:szCs w:val="26"/>
        </w:rPr>
      </w:pPr>
      <w:r>
        <w:rPr>
          <w:rFonts w:ascii="Garamond" w:hAnsi="Garamond" w:cs="AppleSystemUIFont"/>
          <w:b/>
          <w:bCs/>
          <w:sz w:val="26"/>
          <w:szCs w:val="26"/>
        </w:rPr>
        <w:t>A.</w:t>
      </w:r>
      <w:r>
        <w:rPr>
          <w:rFonts w:ascii="Garamond" w:hAnsi="Garamond" w:cs="AppleSystemUIFont"/>
          <w:b/>
          <w:bCs/>
          <w:sz w:val="26"/>
          <w:szCs w:val="26"/>
        </w:rPr>
        <w:tab/>
      </w:r>
      <w:r w:rsidR="00144DF5">
        <w:rPr>
          <w:rFonts w:ascii="Garamond" w:hAnsi="Garamond" w:cs="AppleSystemUIFont"/>
          <w:b/>
          <w:bCs/>
          <w:sz w:val="26"/>
          <w:szCs w:val="26"/>
        </w:rPr>
        <w:t>Permanency</w:t>
      </w:r>
    </w:p>
    <w:p w14:paraId="7E1BAA73" w14:textId="77777777" w:rsidR="000046E3" w:rsidRDefault="00144DF5" w:rsidP="000046E3">
      <w:pPr>
        <w:rPr>
          <w:rFonts w:ascii="Garamond" w:hAnsi="Garamond" w:cs="AppleSystemUIFont"/>
          <w:sz w:val="26"/>
          <w:szCs w:val="26"/>
        </w:rPr>
      </w:pPr>
      <w:r>
        <w:rPr>
          <w:rFonts w:ascii="Garamond" w:hAnsi="Garamond" w:cs="AppleSystemUIFont"/>
          <w:sz w:val="26"/>
          <w:szCs w:val="26"/>
        </w:rPr>
        <w:t>For example, in Josh Gupta-Kagan’s 2015 article, “The New Permanency” he advocates for a redefinition of what constitutes legally permanent caregivers to show that the termination of parental rights and adoption should not be the default when reunification has not been achieved. Gupta-Kagan’s research-based study shows how long-term legal guardianships and other non</w:t>
      </w:r>
      <w:r w:rsidRPr="001D2822">
        <w:rPr>
          <w:rFonts w:ascii="Garamond" w:hAnsi="Garamond" w:cs="AppleSystemUIFont"/>
          <w:sz w:val="26"/>
          <w:szCs w:val="26"/>
        </w:rPr>
        <w:t xml:space="preserve">-termination-of-rights options are as lasting for families as adoptions. (See Article, </w:t>
      </w:r>
      <w:r w:rsidRPr="001D2822">
        <w:rPr>
          <w:rFonts w:ascii="Garamond" w:hAnsi="Garamond" w:cs="AppleSystemUIFont"/>
          <w:i/>
          <w:iCs/>
          <w:sz w:val="26"/>
          <w:szCs w:val="26"/>
        </w:rPr>
        <w:t>The New Permanency</w:t>
      </w:r>
      <w:r w:rsidRPr="001D2822">
        <w:rPr>
          <w:rFonts w:ascii="Garamond" w:hAnsi="Garamond" w:cs="AppleSystemUIFont"/>
          <w:sz w:val="26"/>
          <w:szCs w:val="26"/>
        </w:rPr>
        <w:t xml:space="preserve"> (2015) 19 UC Davis J. Juv. L. &amp; Pol’y 1, 5.)</w:t>
      </w:r>
    </w:p>
    <w:p w14:paraId="776FCBAF" w14:textId="77777777" w:rsidR="000046E3" w:rsidRDefault="00AD18AA" w:rsidP="000046E3">
      <w:pPr>
        <w:rPr>
          <w:rFonts w:ascii="Garamond" w:hAnsi="Garamond" w:cs="AppleSystemUIFont"/>
          <w:b/>
          <w:bCs/>
          <w:sz w:val="26"/>
          <w:szCs w:val="26"/>
        </w:rPr>
      </w:pPr>
      <w:r>
        <w:rPr>
          <w:rFonts w:ascii="Garamond" w:hAnsi="Garamond" w:cs="AppleSystemUIFont"/>
          <w:b/>
          <w:bCs/>
          <w:sz w:val="26"/>
          <w:szCs w:val="26"/>
        </w:rPr>
        <w:t>B.</w:t>
      </w:r>
      <w:r>
        <w:rPr>
          <w:rFonts w:ascii="Garamond" w:hAnsi="Garamond" w:cs="AppleSystemUIFont"/>
          <w:b/>
          <w:bCs/>
          <w:sz w:val="26"/>
          <w:szCs w:val="26"/>
        </w:rPr>
        <w:tab/>
      </w:r>
      <w:r w:rsidR="00144DF5" w:rsidRPr="001D2822">
        <w:rPr>
          <w:rFonts w:ascii="Garamond" w:hAnsi="Garamond" w:cs="AppleSystemUIFont"/>
          <w:b/>
          <w:bCs/>
          <w:sz w:val="26"/>
          <w:szCs w:val="26"/>
        </w:rPr>
        <w:t>Sibling Relationship Exception</w:t>
      </w:r>
    </w:p>
    <w:p w14:paraId="2458A54F" w14:textId="16E5FDE0" w:rsidR="00144DF5" w:rsidRPr="000046E3" w:rsidRDefault="00144DF5" w:rsidP="000046E3">
      <w:pPr>
        <w:rPr>
          <w:rFonts w:ascii="Garamond" w:hAnsi="Garamond" w:cs="AppleSystemUIFont"/>
          <w:b/>
          <w:bCs/>
          <w:sz w:val="26"/>
          <w:szCs w:val="26"/>
        </w:rPr>
      </w:pPr>
      <w:r w:rsidRPr="001D2822">
        <w:rPr>
          <w:rFonts w:ascii="Garamond" w:hAnsi="Garamond" w:cs="AppleSystemUIFont"/>
          <w:sz w:val="26"/>
          <w:szCs w:val="26"/>
        </w:rPr>
        <w:t xml:space="preserve">In the article </w:t>
      </w:r>
      <w:r w:rsidRPr="001D2822">
        <w:rPr>
          <w:rFonts w:ascii="Garamond" w:eastAsia="Times New Roman" w:hAnsi="Garamond" w:cs="Times New Roman"/>
          <w:i/>
          <w:iCs/>
          <w:sz w:val="26"/>
          <w:szCs w:val="26"/>
        </w:rPr>
        <w:t>Dependency Hearings: California's Current Inability To Preserve The Bond Between Siblings</w:t>
      </w:r>
      <w:r w:rsidRPr="001D2822">
        <w:rPr>
          <w:rFonts w:ascii="Garamond" w:hAnsi="Garamond" w:cs="AppleSystemUIFont"/>
          <w:sz w:val="26"/>
          <w:szCs w:val="26"/>
        </w:rPr>
        <w:t xml:space="preserve"> (2012) </w:t>
      </w:r>
      <w:r w:rsidRPr="001D2822">
        <w:rPr>
          <w:rFonts w:ascii="Garamond" w:eastAsia="Times New Roman" w:hAnsi="Garamond" w:cs="Times New Roman"/>
          <w:sz w:val="26"/>
          <w:szCs w:val="26"/>
        </w:rPr>
        <w:t>12 Whittier J. Child &amp; Fam. Advoc. 129</w:t>
      </w:r>
      <w:r w:rsidRPr="001D2822">
        <w:rPr>
          <w:rFonts w:ascii="Garamond" w:hAnsi="Garamond" w:cs="AppleSystemUIFont"/>
          <w:sz w:val="26"/>
          <w:szCs w:val="26"/>
        </w:rPr>
        <w:t xml:space="preserve">, the authors give renewed vitality to the strength of sibling relationship, and could be referenced throughout a dependency proceeding from disposition (where despite sibling relationships, return was not ordered), the reunification period, and of course the sibling-child-relationship exception to the </w:t>
      </w:r>
      <w:r w:rsidRPr="001D2822">
        <w:rPr>
          <w:rFonts w:ascii="Garamond" w:hAnsi="Garamond" w:cs="AppleSystemUIFont"/>
          <w:sz w:val="26"/>
          <w:szCs w:val="26"/>
        </w:rPr>
        <w:lastRenderedPageBreak/>
        <w:t xml:space="preserve">termination of parental rights. The article provides hard data to explain the importance of a dependent child’s continued relationship with a sibling. </w:t>
      </w:r>
    </w:p>
    <w:p w14:paraId="77CA928D" w14:textId="6B07871A" w:rsidR="00144DF5" w:rsidRPr="001D2822" w:rsidRDefault="00AD18AA" w:rsidP="00AD18AA">
      <w:pPr>
        <w:rPr>
          <w:rFonts w:ascii="Garamond" w:eastAsia="Times New Roman" w:hAnsi="Garamond" w:cs="Times New Roman"/>
          <w:b/>
          <w:bCs/>
          <w:sz w:val="26"/>
          <w:szCs w:val="26"/>
        </w:rPr>
      </w:pPr>
      <w:r>
        <w:rPr>
          <w:rFonts w:ascii="Garamond" w:eastAsia="Times New Roman" w:hAnsi="Garamond" w:cs="Times New Roman"/>
          <w:b/>
          <w:bCs/>
          <w:sz w:val="26"/>
          <w:szCs w:val="26"/>
        </w:rPr>
        <w:t>C.</w:t>
      </w:r>
      <w:r>
        <w:rPr>
          <w:rFonts w:ascii="Garamond" w:eastAsia="Times New Roman" w:hAnsi="Garamond" w:cs="Times New Roman"/>
          <w:b/>
          <w:bCs/>
          <w:sz w:val="26"/>
          <w:szCs w:val="26"/>
        </w:rPr>
        <w:tab/>
      </w:r>
      <w:r w:rsidR="00144DF5">
        <w:rPr>
          <w:rFonts w:ascii="Garamond" w:eastAsia="Times New Roman" w:hAnsi="Garamond" w:cs="Times New Roman"/>
          <w:b/>
          <w:bCs/>
          <w:sz w:val="26"/>
          <w:szCs w:val="26"/>
        </w:rPr>
        <w:t>Impact of COVID-19</w:t>
      </w:r>
    </w:p>
    <w:p w14:paraId="316516AC" w14:textId="77777777" w:rsidR="00144DF5" w:rsidRPr="00C52230" w:rsidRDefault="00144DF5" w:rsidP="00144DF5">
      <w:pPr>
        <w:rPr>
          <w:rFonts w:ascii="Garamond" w:hAnsi="Garamond"/>
          <w:sz w:val="26"/>
          <w:szCs w:val="26"/>
        </w:rPr>
      </w:pPr>
      <w:r w:rsidRPr="00816B91">
        <w:rPr>
          <w:rFonts w:ascii="Garamond" w:eastAsia="Times New Roman" w:hAnsi="Garamond" w:cs="Times New Roman"/>
          <w:sz w:val="26"/>
          <w:szCs w:val="26"/>
        </w:rPr>
        <w:t xml:space="preserve">For some research-based arguments on the negative impact of the COVID19 pandemic on dependency proceedings and thus its dependent families, see Kristen Pisani-Jacques’ </w:t>
      </w:r>
      <w:r w:rsidRPr="00816B91">
        <w:rPr>
          <w:rFonts w:ascii="Garamond" w:eastAsia="Times New Roman" w:hAnsi="Garamond" w:cs="Times New Roman"/>
          <w:i/>
          <w:iCs/>
          <w:sz w:val="26"/>
          <w:szCs w:val="26"/>
        </w:rPr>
        <w:t>Special Issue: Dependency Court: A Crisis For A System In Crisis: Forecasting From The Short- And Long-Term Impacts Of Covid-19 On The Child Welfare System</w:t>
      </w:r>
      <w:r w:rsidRPr="00816B91">
        <w:rPr>
          <w:rFonts w:ascii="Garamond" w:eastAsia="Times New Roman" w:hAnsi="Garamond" w:cs="Times New Roman"/>
          <w:sz w:val="26"/>
          <w:szCs w:val="26"/>
        </w:rPr>
        <w:t xml:space="preserve"> (2020) 58 Fam. Ct. Rev. 955. This article provides insight both for trial counsel and appellate practitioners to harness the studied impacts of the pandemic that created negative dependency outcomes due to limited visitation, the reasonableness of services, and its related consequences.</w:t>
      </w:r>
    </w:p>
    <w:p w14:paraId="0E238A3F" w14:textId="77777777" w:rsidR="00931555" w:rsidRPr="00144DF5" w:rsidRDefault="00144DF5" w:rsidP="00724C3A">
      <w:pPr>
        <w:pStyle w:val="ListParagraph"/>
        <w:numPr>
          <w:ilvl w:val="0"/>
          <w:numId w:val="1"/>
        </w:numPr>
        <w:ind w:left="720"/>
        <w:rPr>
          <w:rFonts w:ascii="Garamond" w:hAnsi="Garamond"/>
          <w:b/>
          <w:sz w:val="26"/>
          <w:szCs w:val="26"/>
        </w:rPr>
      </w:pPr>
      <w:r w:rsidRPr="00144DF5">
        <w:rPr>
          <w:rFonts w:ascii="Garamond" w:hAnsi="Garamond"/>
          <w:b/>
          <w:sz w:val="26"/>
          <w:szCs w:val="26"/>
        </w:rPr>
        <w:t>Sources for further research</w:t>
      </w:r>
    </w:p>
    <w:p w14:paraId="047B4A7D" w14:textId="77777777" w:rsidR="00E26098" w:rsidRDefault="00144DF5" w:rsidP="00144DF5">
      <w:pPr>
        <w:rPr>
          <w:rFonts w:ascii="Garamond" w:hAnsi="Garamond"/>
          <w:sz w:val="26"/>
          <w:szCs w:val="26"/>
        </w:rPr>
      </w:pPr>
      <w:r>
        <w:rPr>
          <w:rFonts w:ascii="Garamond" w:hAnsi="Garamond"/>
          <w:sz w:val="26"/>
          <w:szCs w:val="26"/>
        </w:rPr>
        <w:t xml:space="preserve">In researching this article, we’ve considered coining The Doyle-Stuart Hypothesis: Whatever a criminal-defense attorney wants to say in a brief, a professor somewhere has already said it in a law review article. </w:t>
      </w:r>
      <w:r w:rsidR="00E26098">
        <w:rPr>
          <w:rFonts w:ascii="Garamond" w:hAnsi="Garamond"/>
          <w:sz w:val="26"/>
          <w:szCs w:val="26"/>
        </w:rPr>
        <w:t>To test this, take any statement you want to make about the law or how probative a piece of evidence was or how jurors were likely to take it. Throw it into Lexis or Westlaw and check secondary sources. Often, you’re going to find heaps of articles backing you up. So</w:t>
      </w:r>
      <w:r w:rsidR="00916D6F">
        <w:rPr>
          <w:rFonts w:ascii="Garamond" w:hAnsi="Garamond"/>
          <w:sz w:val="26"/>
          <w:szCs w:val="26"/>
        </w:rPr>
        <w:t xml:space="preserve"> to start, you can always</w:t>
      </w:r>
      <w:r w:rsidR="00E26098">
        <w:rPr>
          <w:rFonts w:ascii="Garamond" w:hAnsi="Garamond"/>
          <w:sz w:val="26"/>
          <w:szCs w:val="26"/>
        </w:rPr>
        <w:t xml:space="preserve"> use your normal research tools to find these articles. There’s plenty of research out there that can help. </w:t>
      </w:r>
    </w:p>
    <w:p w14:paraId="08E54859" w14:textId="77777777" w:rsidR="00E26098" w:rsidRDefault="00E26098" w:rsidP="00E26098">
      <w:pPr>
        <w:rPr>
          <w:rStyle w:val="Hyperlink"/>
          <w:rFonts w:ascii="Garamond" w:hAnsi="Garamond" w:cs="AppleSystemUIFont"/>
          <w:color w:val="auto"/>
          <w:sz w:val="26"/>
          <w:szCs w:val="26"/>
          <w:u w:val="none"/>
        </w:rPr>
      </w:pPr>
      <w:r>
        <w:rPr>
          <w:rFonts w:ascii="Garamond" w:hAnsi="Garamond"/>
          <w:sz w:val="26"/>
          <w:szCs w:val="26"/>
        </w:rPr>
        <w:t xml:space="preserve">You can also use </w:t>
      </w:r>
      <w:r w:rsidRPr="00B57F73">
        <w:rPr>
          <w:rFonts w:ascii="Garamond" w:hAnsi="Garamond" w:cs="AppleSystemUIFont"/>
          <w:sz w:val="26"/>
          <w:szCs w:val="26"/>
        </w:rPr>
        <w:t>Google Scholar</w:t>
      </w:r>
      <w:r>
        <w:rPr>
          <w:rFonts w:ascii="Garamond" w:hAnsi="Garamond" w:cs="AppleSystemUIFont"/>
          <w:sz w:val="26"/>
          <w:szCs w:val="26"/>
        </w:rPr>
        <w:t xml:space="preserve">, </w:t>
      </w:r>
      <w:r w:rsidRPr="00B57F73">
        <w:rPr>
          <w:rFonts w:ascii="Garamond" w:hAnsi="Garamond" w:cs="AppleSystemUIFont"/>
          <w:sz w:val="26"/>
          <w:szCs w:val="26"/>
        </w:rPr>
        <w:t xml:space="preserve">the </w:t>
      </w:r>
      <w:hyperlink r:id="rId11" w:history="1">
        <w:r w:rsidRPr="00B57F73">
          <w:rPr>
            <w:rStyle w:val="Hyperlink"/>
            <w:rFonts w:ascii="Garamond" w:hAnsi="Garamond" w:cs="AppleSystemUIFont"/>
            <w:sz w:val="26"/>
            <w:szCs w:val="26"/>
          </w:rPr>
          <w:t>Sentencing Law and Policy Blog</w:t>
        </w:r>
      </w:hyperlink>
      <w:r w:rsidRPr="00E26098">
        <w:rPr>
          <w:rStyle w:val="Hyperlink"/>
          <w:rFonts w:ascii="Garamond" w:hAnsi="Garamond" w:cs="AppleSystemUIFont"/>
          <w:color w:val="auto"/>
          <w:sz w:val="26"/>
          <w:szCs w:val="26"/>
          <w:u w:val="none"/>
        </w:rPr>
        <w:t xml:space="preserve">, </w:t>
      </w:r>
      <w:r w:rsidRPr="00B57F73">
        <w:rPr>
          <w:rFonts w:ascii="Garamond" w:hAnsi="Garamond" w:cs="AppleSystemUIFont"/>
          <w:sz w:val="26"/>
          <w:szCs w:val="26"/>
        </w:rPr>
        <w:t xml:space="preserve">the </w:t>
      </w:r>
      <w:hyperlink r:id="rId12" w:history="1">
        <w:r w:rsidRPr="00B57F73">
          <w:rPr>
            <w:rStyle w:val="Hyperlink"/>
            <w:rFonts w:ascii="Garamond" w:hAnsi="Garamond" w:cs="AppleSystemUIFont"/>
            <w:sz w:val="26"/>
            <w:szCs w:val="26"/>
          </w:rPr>
          <w:t>Sentencing Project</w:t>
        </w:r>
      </w:hyperlink>
      <w:r w:rsidRPr="00E26098">
        <w:rPr>
          <w:rStyle w:val="Hyperlink"/>
          <w:rFonts w:ascii="Garamond" w:hAnsi="Garamond" w:cs="AppleSystemUIFont"/>
          <w:color w:val="auto"/>
          <w:sz w:val="26"/>
          <w:szCs w:val="26"/>
          <w:u w:val="none"/>
        </w:rPr>
        <w:t xml:space="preserve">, </w:t>
      </w:r>
      <w:r>
        <w:rPr>
          <w:rStyle w:val="Hyperlink"/>
          <w:rFonts w:ascii="Garamond" w:hAnsi="Garamond" w:cs="AppleSystemUIFont"/>
          <w:color w:val="auto"/>
          <w:sz w:val="26"/>
          <w:szCs w:val="26"/>
          <w:u w:val="none"/>
        </w:rPr>
        <w:t xml:space="preserve">and </w:t>
      </w:r>
      <w:r w:rsidRPr="00B57F73">
        <w:rPr>
          <w:rFonts w:ascii="Garamond" w:hAnsi="Garamond" w:cs="AppleSystemUIFont"/>
          <w:sz w:val="26"/>
          <w:szCs w:val="26"/>
        </w:rPr>
        <w:t xml:space="preserve">the </w:t>
      </w:r>
      <w:hyperlink r:id="rId13" w:history="1">
        <w:r w:rsidRPr="00B57F73">
          <w:rPr>
            <w:rStyle w:val="Hyperlink"/>
            <w:rFonts w:ascii="Garamond" w:hAnsi="Garamond" w:cs="AppleSystemUIFont"/>
            <w:sz w:val="26"/>
            <w:szCs w:val="26"/>
          </w:rPr>
          <w:t>Pew Research Center</w:t>
        </w:r>
      </w:hyperlink>
      <w:r>
        <w:rPr>
          <w:rStyle w:val="Hyperlink"/>
          <w:rFonts w:ascii="Garamond" w:hAnsi="Garamond" w:cs="AppleSystemUIFont"/>
          <w:color w:val="auto"/>
          <w:sz w:val="26"/>
          <w:szCs w:val="26"/>
          <w:u w:val="none"/>
        </w:rPr>
        <w:t xml:space="preserve">. We highly recommend an article that was incredibly helpful </w:t>
      </w:r>
      <w:r w:rsidR="00FB6EA5">
        <w:rPr>
          <w:rStyle w:val="Hyperlink"/>
          <w:rFonts w:ascii="Garamond" w:hAnsi="Garamond" w:cs="AppleSystemUIFont"/>
          <w:color w:val="auto"/>
          <w:sz w:val="26"/>
          <w:szCs w:val="26"/>
          <w:u w:val="none"/>
        </w:rPr>
        <w:t xml:space="preserve">for us: </w:t>
      </w:r>
      <w:r w:rsidR="00FB6EA5" w:rsidRPr="00916D6F">
        <w:rPr>
          <w:rStyle w:val="Hyperlink"/>
          <w:rFonts w:ascii="Garamond" w:hAnsi="Garamond" w:cs="AppleSystemUIFont"/>
          <w:i/>
          <w:color w:val="auto"/>
          <w:sz w:val="26"/>
          <w:szCs w:val="26"/>
          <w:u w:val="none"/>
        </w:rPr>
        <w:t>Incorporating Social Science into Criminal Defense Practice</w:t>
      </w:r>
      <w:r w:rsidR="00FB6EA5">
        <w:rPr>
          <w:rStyle w:val="Hyperlink"/>
          <w:rFonts w:ascii="Garamond" w:hAnsi="Garamond" w:cs="AppleSystemUIFont"/>
          <w:color w:val="auto"/>
          <w:sz w:val="26"/>
          <w:szCs w:val="26"/>
          <w:u w:val="none"/>
        </w:rPr>
        <w:t xml:space="preserve"> by Professor Eve </w:t>
      </w:r>
      <w:r w:rsidR="00FB6EA5" w:rsidRPr="00FB6EA5">
        <w:rPr>
          <w:rStyle w:val="Hyperlink"/>
          <w:rFonts w:ascii="Garamond" w:hAnsi="Garamond" w:cs="AppleSystemUIFont"/>
          <w:color w:val="auto"/>
          <w:sz w:val="26"/>
          <w:szCs w:val="26"/>
          <w:u w:val="none"/>
        </w:rPr>
        <w:t>Brensike Primus</w:t>
      </w:r>
      <w:r>
        <w:rPr>
          <w:rStyle w:val="Hyperlink"/>
          <w:rFonts w:ascii="Garamond" w:hAnsi="Garamond" w:cs="AppleSystemUIFont"/>
          <w:color w:val="auto"/>
          <w:sz w:val="26"/>
          <w:szCs w:val="26"/>
          <w:u w:val="none"/>
        </w:rPr>
        <w:t xml:space="preserve"> </w:t>
      </w:r>
      <w:r w:rsidR="00FB6EA5">
        <w:rPr>
          <w:rStyle w:val="Hyperlink"/>
          <w:rFonts w:ascii="Garamond" w:hAnsi="Garamond" w:cs="AppleSystemUIFont"/>
          <w:color w:val="auto"/>
          <w:sz w:val="26"/>
          <w:szCs w:val="26"/>
          <w:u w:val="none"/>
        </w:rPr>
        <w:t>at the University of Michigan (who is across the board a fantastic legal scholar on criminal-defense issues).</w:t>
      </w:r>
      <w:r w:rsidR="00916D6F">
        <w:rPr>
          <w:rStyle w:val="FootnoteReference"/>
          <w:rFonts w:ascii="Garamond" w:hAnsi="Garamond" w:cs="AppleSystemUIFont"/>
          <w:sz w:val="26"/>
          <w:szCs w:val="26"/>
        </w:rPr>
        <w:footnoteReference w:id="45"/>
      </w:r>
      <w:r w:rsidR="00FB6EA5">
        <w:rPr>
          <w:rStyle w:val="Hyperlink"/>
          <w:rFonts w:ascii="Garamond" w:hAnsi="Garamond" w:cs="AppleSystemUIFont"/>
          <w:color w:val="auto"/>
          <w:sz w:val="26"/>
          <w:szCs w:val="26"/>
          <w:u w:val="none"/>
        </w:rPr>
        <w:t xml:space="preserve"> It covers introducing matters a trial as well as on appeal, but it covers several evidentiary issues we haven’t touched on. </w:t>
      </w:r>
    </w:p>
    <w:p w14:paraId="5F1534E1" w14:textId="77777777" w:rsidR="00D07BF5" w:rsidRPr="00BB10F8" w:rsidRDefault="00FB6EA5" w:rsidP="00FB6EA5">
      <w:pPr>
        <w:rPr>
          <w:rFonts w:ascii="Garamond" w:hAnsi="Garamond"/>
          <w:sz w:val="26"/>
          <w:szCs w:val="26"/>
        </w:rPr>
      </w:pPr>
      <w:r>
        <w:rPr>
          <w:rStyle w:val="Hyperlink"/>
          <w:rFonts w:ascii="Garamond" w:hAnsi="Garamond" w:cs="AppleSystemUIFont"/>
          <w:color w:val="auto"/>
          <w:sz w:val="26"/>
          <w:szCs w:val="26"/>
          <w:u w:val="none"/>
        </w:rPr>
        <w:t xml:space="preserve">Finally, in the wake of the tremendous legislation that has been enacted over the past several years, many organizations are conducting research or compiling statistics on criminal-justice issues, in particular relating to race and youth. </w:t>
      </w:r>
      <w:r w:rsidR="00D777AF">
        <w:rPr>
          <w:rStyle w:val="Hyperlink"/>
          <w:rFonts w:ascii="Garamond" w:hAnsi="Garamond" w:cs="AppleSystemUIFont"/>
          <w:color w:val="auto"/>
          <w:sz w:val="26"/>
          <w:szCs w:val="26"/>
          <w:u w:val="none"/>
        </w:rPr>
        <w:t xml:space="preserve">People are working hard on these novel issues. </w:t>
      </w:r>
      <w:r>
        <w:rPr>
          <w:rStyle w:val="Hyperlink"/>
          <w:rFonts w:ascii="Garamond" w:hAnsi="Garamond" w:cs="AppleSystemUIFont"/>
          <w:color w:val="auto"/>
          <w:sz w:val="26"/>
          <w:szCs w:val="26"/>
          <w:u w:val="none"/>
        </w:rPr>
        <w:t>Listservs abound. And</w:t>
      </w:r>
      <w:r w:rsidR="00D777AF">
        <w:rPr>
          <w:rStyle w:val="Hyperlink"/>
          <w:rFonts w:ascii="Garamond" w:hAnsi="Garamond" w:cs="AppleSystemUIFont"/>
          <w:color w:val="auto"/>
          <w:sz w:val="26"/>
          <w:szCs w:val="26"/>
          <w:u w:val="none"/>
        </w:rPr>
        <w:t xml:space="preserve"> </w:t>
      </w:r>
      <w:r>
        <w:rPr>
          <w:rStyle w:val="Hyperlink"/>
          <w:rFonts w:ascii="Garamond" w:hAnsi="Garamond" w:cs="AppleSystemUIFont"/>
          <w:color w:val="auto"/>
          <w:sz w:val="26"/>
          <w:szCs w:val="26"/>
          <w:u w:val="none"/>
        </w:rPr>
        <w:t xml:space="preserve">as always, </w:t>
      </w:r>
      <w:r w:rsidR="00D777AF">
        <w:rPr>
          <w:rStyle w:val="Hyperlink"/>
          <w:rFonts w:ascii="Garamond" w:hAnsi="Garamond" w:cs="AppleSystemUIFont"/>
          <w:color w:val="auto"/>
          <w:sz w:val="26"/>
          <w:szCs w:val="26"/>
          <w:u w:val="none"/>
        </w:rPr>
        <w:t xml:space="preserve">please </w:t>
      </w:r>
      <w:r>
        <w:rPr>
          <w:rStyle w:val="Hyperlink"/>
          <w:rFonts w:ascii="Garamond" w:hAnsi="Garamond" w:cs="AppleSystemUIFont"/>
          <w:color w:val="auto"/>
          <w:sz w:val="26"/>
          <w:szCs w:val="26"/>
          <w:u w:val="none"/>
        </w:rPr>
        <w:t xml:space="preserve">feel free to contact us at SDAP if you’re looking for something in particular. We love this stuff. </w:t>
      </w:r>
    </w:p>
    <w:sectPr w:rsidR="00D07BF5" w:rsidRPr="00BB10F8">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7D250" w14:textId="77777777" w:rsidR="00835B44" w:rsidRDefault="00835B44" w:rsidP="00A00721">
      <w:pPr>
        <w:spacing w:after="0" w:line="240" w:lineRule="auto"/>
      </w:pPr>
      <w:r>
        <w:separator/>
      </w:r>
    </w:p>
  </w:endnote>
  <w:endnote w:type="continuationSeparator" w:id="0">
    <w:p w14:paraId="28EFBDEF" w14:textId="77777777" w:rsidR="00835B44" w:rsidRDefault="00835B44" w:rsidP="00A00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ernhardMod BT">
    <w:panose1 w:val="0207040306030A020402"/>
    <w:charset w:val="00"/>
    <w:family w:val="roman"/>
    <w:pitch w:val="variable"/>
    <w:sig w:usb0="800000AF" w:usb1="1000204A" w:usb2="00000000" w:usb3="00000000" w:csb0="0000001B" w:csb1="00000000"/>
  </w:font>
  <w:font w:name="AppleSystemUIFon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rPr>
      <w:id w:val="1037399223"/>
      <w:docPartObj>
        <w:docPartGallery w:val="Page Numbers (Bottom of Page)"/>
        <w:docPartUnique/>
      </w:docPartObj>
    </w:sdtPr>
    <w:sdtEndPr>
      <w:rPr>
        <w:noProof/>
      </w:rPr>
    </w:sdtEndPr>
    <w:sdtContent>
      <w:p w14:paraId="6A5D2A84" w14:textId="77777777" w:rsidR="0009248F" w:rsidRPr="0009248F" w:rsidRDefault="0009248F">
        <w:pPr>
          <w:pStyle w:val="Footer"/>
          <w:jc w:val="center"/>
          <w:rPr>
            <w:rFonts w:ascii="Garamond" w:hAnsi="Garamond"/>
          </w:rPr>
        </w:pPr>
        <w:r w:rsidRPr="0009248F">
          <w:rPr>
            <w:rFonts w:ascii="Garamond" w:hAnsi="Garamond"/>
          </w:rPr>
          <w:fldChar w:fldCharType="begin"/>
        </w:r>
        <w:r w:rsidRPr="0009248F">
          <w:rPr>
            <w:rFonts w:ascii="Garamond" w:hAnsi="Garamond"/>
          </w:rPr>
          <w:instrText xml:space="preserve"> PAGE   \* MERGEFORMAT </w:instrText>
        </w:r>
        <w:r w:rsidRPr="0009248F">
          <w:rPr>
            <w:rFonts w:ascii="Garamond" w:hAnsi="Garamond"/>
          </w:rPr>
          <w:fldChar w:fldCharType="separate"/>
        </w:r>
        <w:r w:rsidR="00927D48">
          <w:rPr>
            <w:rFonts w:ascii="Garamond" w:hAnsi="Garamond"/>
            <w:noProof/>
          </w:rPr>
          <w:t>2</w:t>
        </w:r>
        <w:r w:rsidRPr="0009248F">
          <w:rPr>
            <w:rFonts w:ascii="Garamond" w:hAnsi="Garamond"/>
            <w:noProof/>
          </w:rPr>
          <w:fldChar w:fldCharType="end"/>
        </w:r>
      </w:p>
    </w:sdtContent>
  </w:sdt>
  <w:p w14:paraId="13350C2E" w14:textId="77777777" w:rsidR="0009248F" w:rsidRPr="0009248F" w:rsidRDefault="0009248F">
    <w:pPr>
      <w:pStyle w:val="Foote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5A91C" w14:textId="77777777" w:rsidR="00835B44" w:rsidRDefault="00835B44" w:rsidP="00A00721">
      <w:pPr>
        <w:spacing w:after="0" w:line="240" w:lineRule="auto"/>
      </w:pPr>
      <w:r>
        <w:separator/>
      </w:r>
    </w:p>
  </w:footnote>
  <w:footnote w:type="continuationSeparator" w:id="0">
    <w:p w14:paraId="635AF46B" w14:textId="77777777" w:rsidR="00835B44" w:rsidRDefault="00835B44" w:rsidP="00A00721">
      <w:pPr>
        <w:spacing w:after="0" w:line="240" w:lineRule="auto"/>
      </w:pPr>
      <w:r>
        <w:continuationSeparator/>
      </w:r>
    </w:p>
  </w:footnote>
  <w:footnote w:id="1">
    <w:p w14:paraId="3E2A23DB" w14:textId="77777777" w:rsidR="00A00721" w:rsidRPr="00AD18AA" w:rsidRDefault="00A00721">
      <w:pPr>
        <w:pStyle w:val="FootnoteText"/>
        <w:rPr>
          <w:rFonts w:ascii="Garamond" w:hAnsi="Garamond"/>
          <w:sz w:val="22"/>
          <w:szCs w:val="22"/>
        </w:rPr>
      </w:pPr>
      <w:r w:rsidRPr="00AD18AA">
        <w:rPr>
          <w:rStyle w:val="FootnoteReference"/>
          <w:rFonts w:ascii="Garamond" w:hAnsi="Garamond"/>
          <w:sz w:val="22"/>
          <w:szCs w:val="22"/>
        </w:rPr>
        <w:footnoteRef/>
      </w:r>
      <w:r w:rsidRPr="00AD18AA">
        <w:rPr>
          <w:rFonts w:ascii="Garamond" w:hAnsi="Garamond"/>
          <w:sz w:val="22"/>
          <w:szCs w:val="22"/>
        </w:rPr>
        <w:t xml:space="preserve"> </w:t>
      </w:r>
      <w:r w:rsidRPr="00AD18AA">
        <w:rPr>
          <w:rFonts w:ascii="Garamond" w:hAnsi="Garamond"/>
          <w:i/>
          <w:sz w:val="22"/>
          <w:szCs w:val="22"/>
        </w:rPr>
        <w:t>People v. Kopatz</w:t>
      </w:r>
      <w:r w:rsidRPr="00AD18AA">
        <w:rPr>
          <w:rFonts w:ascii="Garamond" w:hAnsi="Garamond"/>
          <w:sz w:val="22"/>
          <w:szCs w:val="22"/>
        </w:rPr>
        <w:t xml:space="preserve"> (2015) 61 Cal.4th 62, 82 (</w:t>
      </w:r>
      <w:r w:rsidR="00740BC4" w:rsidRPr="00AD18AA">
        <w:rPr>
          <w:rFonts w:ascii="Garamond" w:hAnsi="Garamond"/>
          <w:sz w:val="22"/>
          <w:szCs w:val="22"/>
        </w:rPr>
        <w:t>“</w:t>
      </w:r>
      <w:r w:rsidRPr="00AD18AA">
        <w:rPr>
          <w:rFonts w:ascii="Garamond" w:hAnsi="Garamond"/>
          <w:sz w:val="22"/>
          <w:szCs w:val="22"/>
        </w:rPr>
        <w:t>[I]t is clear that a reasonable person in defendant</w:t>
      </w:r>
      <w:r w:rsidR="00740BC4" w:rsidRPr="00AD18AA">
        <w:rPr>
          <w:rFonts w:ascii="Garamond" w:hAnsi="Garamond"/>
          <w:sz w:val="22"/>
          <w:szCs w:val="22"/>
        </w:rPr>
        <w:t>’</w:t>
      </w:r>
      <w:r w:rsidRPr="00AD18AA">
        <w:rPr>
          <w:rFonts w:ascii="Garamond" w:hAnsi="Garamond"/>
          <w:sz w:val="22"/>
          <w:szCs w:val="22"/>
        </w:rPr>
        <w:t>s situation would have believed he was free to leave at any time and to terminate the interview.</w:t>
      </w:r>
      <w:r w:rsidR="00740BC4" w:rsidRPr="00AD18AA">
        <w:rPr>
          <w:rFonts w:ascii="Garamond" w:hAnsi="Garamond"/>
          <w:sz w:val="22"/>
          <w:szCs w:val="22"/>
        </w:rPr>
        <w:t>”</w:t>
      </w:r>
      <w:r w:rsidRPr="00AD18AA">
        <w:rPr>
          <w:rFonts w:ascii="Garamond" w:hAnsi="Garamond"/>
          <w:sz w:val="22"/>
          <w:szCs w:val="22"/>
        </w:rPr>
        <w:t>).</w:t>
      </w:r>
    </w:p>
  </w:footnote>
  <w:footnote w:id="2">
    <w:p w14:paraId="71AE6850" w14:textId="77777777" w:rsidR="002A5AF2" w:rsidRPr="00AD18AA" w:rsidRDefault="002A5AF2">
      <w:pPr>
        <w:pStyle w:val="FootnoteText"/>
        <w:rPr>
          <w:rFonts w:ascii="Garamond" w:hAnsi="Garamond"/>
          <w:sz w:val="22"/>
          <w:szCs w:val="22"/>
        </w:rPr>
      </w:pPr>
      <w:r w:rsidRPr="00AD18AA">
        <w:rPr>
          <w:rStyle w:val="FootnoteReference"/>
          <w:rFonts w:ascii="Garamond" w:hAnsi="Garamond"/>
          <w:sz w:val="22"/>
          <w:szCs w:val="22"/>
        </w:rPr>
        <w:footnoteRef/>
      </w:r>
      <w:r w:rsidRPr="00AD18AA">
        <w:rPr>
          <w:rFonts w:ascii="Garamond" w:hAnsi="Garamond"/>
          <w:sz w:val="22"/>
          <w:szCs w:val="22"/>
        </w:rPr>
        <w:t xml:space="preserve"> </w:t>
      </w:r>
      <w:r w:rsidRPr="00AD18AA">
        <w:rPr>
          <w:rFonts w:ascii="Garamond" w:hAnsi="Garamond"/>
          <w:i/>
          <w:sz w:val="22"/>
          <w:szCs w:val="22"/>
        </w:rPr>
        <w:t>People v. Zepeda</w:t>
      </w:r>
      <w:r w:rsidRPr="00AD18AA">
        <w:rPr>
          <w:rFonts w:ascii="Garamond" w:hAnsi="Garamond"/>
          <w:sz w:val="22"/>
          <w:szCs w:val="22"/>
        </w:rPr>
        <w:t xml:space="preserve"> (2008) 167 Cal.App.4th 25, 34-35.</w:t>
      </w:r>
    </w:p>
  </w:footnote>
  <w:footnote w:id="3">
    <w:p w14:paraId="4AE4CA82" w14:textId="77777777" w:rsidR="00A00721" w:rsidRPr="00AD18AA" w:rsidRDefault="00A00721">
      <w:pPr>
        <w:pStyle w:val="FootnoteText"/>
        <w:rPr>
          <w:rFonts w:ascii="Garamond" w:hAnsi="Garamond"/>
          <w:sz w:val="22"/>
          <w:szCs w:val="22"/>
        </w:rPr>
      </w:pPr>
      <w:r w:rsidRPr="00AD18AA">
        <w:rPr>
          <w:rStyle w:val="FootnoteReference"/>
          <w:rFonts w:ascii="Garamond" w:hAnsi="Garamond"/>
          <w:sz w:val="22"/>
          <w:szCs w:val="22"/>
        </w:rPr>
        <w:footnoteRef/>
      </w:r>
      <w:r w:rsidRPr="00AD18AA">
        <w:rPr>
          <w:rFonts w:ascii="Garamond" w:hAnsi="Garamond"/>
          <w:sz w:val="22"/>
          <w:szCs w:val="22"/>
        </w:rPr>
        <w:t xml:space="preserve"> </w:t>
      </w:r>
      <w:r w:rsidR="002A5AF2" w:rsidRPr="00AD18AA">
        <w:rPr>
          <w:rFonts w:ascii="Garamond" w:hAnsi="Garamond"/>
          <w:i/>
          <w:sz w:val="22"/>
          <w:szCs w:val="22"/>
        </w:rPr>
        <w:t>People v. Homick</w:t>
      </w:r>
      <w:r w:rsidR="007412B3" w:rsidRPr="00AD18AA">
        <w:rPr>
          <w:rFonts w:ascii="Garamond" w:hAnsi="Garamond"/>
          <w:sz w:val="22"/>
          <w:szCs w:val="22"/>
        </w:rPr>
        <w:t xml:space="preserve"> (2012) 55 Cal.</w:t>
      </w:r>
      <w:r w:rsidR="002A5AF2" w:rsidRPr="00AD18AA">
        <w:rPr>
          <w:rFonts w:ascii="Garamond" w:hAnsi="Garamond"/>
          <w:sz w:val="22"/>
          <w:szCs w:val="22"/>
        </w:rPr>
        <w:t>4th 816. 866-867 (</w:t>
      </w:r>
      <w:r w:rsidR="00740BC4" w:rsidRPr="00AD18AA">
        <w:rPr>
          <w:rFonts w:ascii="Garamond" w:hAnsi="Garamond"/>
          <w:sz w:val="22"/>
          <w:szCs w:val="22"/>
        </w:rPr>
        <w:t>“</w:t>
      </w:r>
      <w:r w:rsidR="002A5AF2" w:rsidRPr="00AD18AA">
        <w:rPr>
          <w:rFonts w:ascii="Garamond" w:hAnsi="Garamond"/>
          <w:sz w:val="22"/>
          <w:szCs w:val="22"/>
        </w:rPr>
        <w:t>We presume that jurors comprehend and accept the court</w:t>
      </w:r>
      <w:r w:rsidR="00740BC4" w:rsidRPr="00AD18AA">
        <w:rPr>
          <w:rFonts w:ascii="Garamond" w:hAnsi="Garamond"/>
          <w:sz w:val="22"/>
          <w:szCs w:val="22"/>
        </w:rPr>
        <w:t>’</w:t>
      </w:r>
      <w:r w:rsidR="002A5AF2" w:rsidRPr="00AD18AA">
        <w:rPr>
          <w:rFonts w:ascii="Garamond" w:hAnsi="Garamond"/>
          <w:sz w:val="22"/>
          <w:szCs w:val="22"/>
        </w:rPr>
        <w:t>s directions. [Citation.] We can, of course, do nothing else. The crucial assumption underlying our  constitutional system of trial by jury is th</w:t>
      </w:r>
      <w:r w:rsidR="00791899" w:rsidRPr="00AD18AA">
        <w:rPr>
          <w:rFonts w:ascii="Garamond" w:hAnsi="Garamond"/>
          <w:sz w:val="22"/>
          <w:szCs w:val="22"/>
        </w:rPr>
        <w:t xml:space="preserve">at jurors generally understand </w:t>
      </w:r>
      <w:r w:rsidR="002A5AF2" w:rsidRPr="00AD18AA">
        <w:rPr>
          <w:rFonts w:ascii="Garamond" w:hAnsi="Garamond"/>
          <w:sz w:val="22"/>
          <w:szCs w:val="22"/>
        </w:rPr>
        <w:t>and faithfully follow instructions.</w:t>
      </w:r>
      <w:r w:rsidR="00740BC4" w:rsidRPr="00AD18AA">
        <w:rPr>
          <w:rFonts w:ascii="Garamond" w:hAnsi="Garamond"/>
          <w:sz w:val="22"/>
          <w:szCs w:val="22"/>
        </w:rPr>
        <w:t>”</w:t>
      </w:r>
      <w:r w:rsidR="002A5AF2" w:rsidRPr="00AD18AA">
        <w:rPr>
          <w:rFonts w:ascii="Garamond" w:hAnsi="Garamond"/>
          <w:sz w:val="22"/>
          <w:szCs w:val="22"/>
        </w:rPr>
        <w:t xml:space="preserve">). </w:t>
      </w:r>
    </w:p>
  </w:footnote>
  <w:footnote w:id="4">
    <w:p w14:paraId="4639CA66" w14:textId="77777777" w:rsidR="002E4630" w:rsidRPr="00AD18AA" w:rsidRDefault="002E4630" w:rsidP="002E4630">
      <w:pPr>
        <w:pStyle w:val="FootnoteText"/>
        <w:rPr>
          <w:rFonts w:ascii="Garamond" w:hAnsi="Garamond"/>
          <w:sz w:val="22"/>
          <w:szCs w:val="22"/>
        </w:rPr>
      </w:pPr>
      <w:r w:rsidRPr="00AD18AA">
        <w:rPr>
          <w:rStyle w:val="FootnoteReference"/>
          <w:rFonts w:ascii="Garamond" w:hAnsi="Garamond"/>
          <w:sz w:val="22"/>
          <w:szCs w:val="22"/>
        </w:rPr>
        <w:footnoteRef/>
      </w:r>
      <w:r w:rsidRPr="00AD18AA">
        <w:rPr>
          <w:rFonts w:ascii="Garamond" w:hAnsi="Garamond"/>
          <w:sz w:val="22"/>
          <w:szCs w:val="22"/>
        </w:rPr>
        <w:t xml:space="preserve"> Leverick, </w:t>
      </w:r>
      <w:r w:rsidRPr="00AD18AA">
        <w:rPr>
          <w:rFonts w:ascii="Garamond" w:hAnsi="Garamond"/>
          <w:i/>
          <w:sz w:val="22"/>
          <w:szCs w:val="22"/>
        </w:rPr>
        <w:t>Jury Instructions on Eyewitness Identification Evidence: A Re-evaluation</w:t>
      </w:r>
      <w:r w:rsidRPr="00AD18AA">
        <w:rPr>
          <w:rFonts w:ascii="Garamond" w:hAnsi="Garamond"/>
          <w:sz w:val="22"/>
          <w:szCs w:val="22"/>
        </w:rPr>
        <w:t xml:space="preserve"> (2016) 49 Creighton L. Rev. 555, 562, fn. 56, citing Wise &amp; Safer, </w:t>
      </w:r>
      <w:r w:rsidRPr="00AD18AA">
        <w:rPr>
          <w:rFonts w:ascii="Garamond" w:hAnsi="Garamond"/>
          <w:i/>
          <w:sz w:val="22"/>
          <w:szCs w:val="22"/>
        </w:rPr>
        <w:t>What US Judges Know and Believe About Eyewitness Testimony</w:t>
      </w:r>
      <w:r w:rsidRPr="00AD18AA">
        <w:rPr>
          <w:rFonts w:ascii="Garamond" w:hAnsi="Garamond"/>
          <w:sz w:val="22"/>
          <w:szCs w:val="22"/>
        </w:rPr>
        <w:t xml:space="preserve"> (2004) 18 Applied Cognitive Psychol. 427, 432; Magnussen et al., </w:t>
      </w:r>
      <w:r w:rsidRPr="00AD18AA">
        <w:rPr>
          <w:rFonts w:ascii="Garamond" w:hAnsi="Garamond"/>
          <w:i/>
          <w:sz w:val="22"/>
          <w:szCs w:val="22"/>
        </w:rPr>
        <w:t>What Judges Know About Eyewitness Testimony: A Comparison of Norwegian and US Judges</w:t>
      </w:r>
      <w:r w:rsidRPr="00AD18AA">
        <w:rPr>
          <w:rFonts w:ascii="Garamond" w:hAnsi="Garamond"/>
          <w:sz w:val="22"/>
          <w:szCs w:val="22"/>
        </w:rPr>
        <w:t xml:space="preserve"> (2008) 14 Psychology, Crime &amp; L. 177, 181; Wise et al., </w:t>
      </w:r>
      <w:r w:rsidRPr="00AD18AA">
        <w:rPr>
          <w:rFonts w:ascii="Garamond" w:hAnsi="Garamond"/>
          <w:i/>
          <w:sz w:val="22"/>
          <w:szCs w:val="22"/>
        </w:rPr>
        <w:t>A Comparison of Chinese Judges</w:t>
      </w:r>
      <w:r w:rsidR="00740BC4" w:rsidRPr="00AD18AA">
        <w:rPr>
          <w:rFonts w:ascii="Garamond" w:hAnsi="Garamond"/>
          <w:i/>
          <w:sz w:val="22"/>
          <w:szCs w:val="22"/>
        </w:rPr>
        <w:t>’</w:t>
      </w:r>
      <w:r w:rsidRPr="00AD18AA">
        <w:rPr>
          <w:rFonts w:ascii="Garamond" w:hAnsi="Garamond"/>
          <w:i/>
          <w:sz w:val="22"/>
          <w:szCs w:val="22"/>
        </w:rPr>
        <w:t xml:space="preserve"> and US Judges</w:t>
      </w:r>
      <w:r w:rsidR="00740BC4" w:rsidRPr="00AD18AA">
        <w:rPr>
          <w:rFonts w:ascii="Garamond" w:hAnsi="Garamond"/>
          <w:i/>
          <w:sz w:val="22"/>
          <w:szCs w:val="22"/>
        </w:rPr>
        <w:t>’</w:t>
      </w:r>
      <w:r w:rsidRPr="00AD18AA">
        <w:rPr>
          <w:rFonts w:ascii="Garamond" w:hAnsi="Garamond"/>
          <w:i/>
          <w:sz w:val="22"/>
          <w:szCs w:val="22"/>
        </w:rPr>
        <w:t xml:space="preserve"> Knowledge and Beliefs About Eyewitness Testimony</w:t>
      </w:r>
      <w:r w:rsidRPr="00AD18AA">
        <w:rPr>
          <w:rFonts w:ascii="Garamond" w:hAnsi="Garamond"/>
          <w:sz w:val="22"/>
          <w:szCs w:val="22"/>
        </w:rPr>
        <w:t xml:space="preserve"> (2010) 16 Psychol., Crime &amp; L. 695, 708; see also Benton et al., </w:t>
      </w:r>
      <w:r w:rsidRPr="00AD18AA">
        <w:rPr>
          <w:rFonts w:ascii="Garamond" w:hAnsi="Garamond"/>
          <w:i/>
          <w:sz w:val="22"/>
          <w:szCs w:val="22"/>
        </w:rPr>
        <w:t>Eyewitness Memory is Still Not Common Sense: Comparing Jurors, Judges and Law Enforcement to Eyewitness Experts</w:t>
      </w:r>
      <w:r w:rsidRPr="00AD18AA">
        <w:rPr>
          <w:rFonts w:ascii="Garamond" w:hAnsi="Garamond"/>
          <w:sz w:val="22"/>
          <w:szCs w:val="22"/>
        </w:rPr>
        <w:t xml:space="preserve"> (2006) 20 Applied Cognitive Psychol. 115, 120.</w:t>
      </w:r>
    </w:p>
  </w:footnote>
  <w:footnote w:id="5">
    <w:p w14:paraId="3216777C" w14:textId="77777777" w:rsidR="002506C5" w:rsidRPr="00AD18AA" w:rsidRDefault="002506C5">
      <w:pPr>
        <w:pStyle w:val="FootnoteText"/>
        <w:rPr>
          <w:rFonts w:ascii="Garamond" w:hAnsi="Garamond"/>
          <w:sz w:val="22"/>
          <w:szCs w:val="22"/>
        </w:rPr>
      </w:pPr>
      <w:r w:rsidRPr="00AD18AA">
        <w:rPr>
          <w:rStyle w:val="FootnoteReference"/>
          <w:rFonts w:ascii="Garamond" w:hAnsi="Garamond"/>
          <w:sz w:val="22"/>
          <w:szCs w:val="22"/>
        </w:rPr>
        <w:footnoteRef/>
      </w:r>
      <w:r w:rsidRPr="00AD18AA">
        <w:rPr>
          <w:rFonts w:ascii="Garamond" w:hAnsi="Garamond"/>
          <w:sz w:val="22"/>
          <w:szCs w:val="22"/>
        </w:rPr>
        <w:t xml:space="preserve"> His penalty for </w:t>
      </w:r>
      <w:r w:rsidR="00BB10F8" w:rsidRPr="00AD18AA">
        <w:rPr>
          <w:rFonts w:ascii="Garamond" w:hAnsi="Garamond"/>
          <w:sz w:val="22"/>
          <w:szCs w:val="22"/>
        </w:rPr>
        <w:t xml:space="preserve">running a laundromat </w:t>
      </w:r>
      <w:r w:rsidR="00CB06C7" w:rsidRPr="00AD18AA">
        <w:rPr>
          <w:rFonts w:ascii="Garamond" w:hAnsi="Garamond"/>
          <w:sz w:val="22"/>
          <w:szCs w:val="22"/>
        </w:rPr>
        <w:t>on</w:t>
      </w:r>
      <w:r w:rsidR="00BB10F8" w:rsidRPr="00AD18AA">
        <w:rPr>
          <w:rFonts w:ascii="Garamond" w:hAnsi="Garamond"/>
          <w:sz w:val="22"/>
          <w:szCs w:val="22"/>
        </w:rPr>
        <w:t xml:space="preserve"> forced labor? A</w:t>
      </w:r>
      <w:r w:rsidRPr="00AD18AA">
        <w:rPr>
          <w:rFonts w:ascii="Garamond" w:hAnsi="Garamond"/>
          <w:sz w:val="22"/>
          <w:szCs w:val="22"/>
        </w:rPr>
        <w:t xml:space="preserve"> whopping $10. </w:t>
      </w:r>
    </w:p>
  </w:footnote>
  <w:footnote w:id="6">
    <w:p w14:paraId="22F28E04" w14:textId="77777777" w:rsidR="00BB10F8" w:rsidRPr="00AD18AA" w:rsidRDefault="00BB10F8">
      <w:pPr>
        <w:pStyle w:val="FootnoteText"/>
        <w:rPr>
          <w:rFonts w:ascii="Garamond" w:hAnsi="Garamond"/>
          <w:sz w:val="22"/>
          <w:szCs w:val="22"/>
        </w:rPr>
      </w:pPr>
      <w:r w:rsidRPr="00AD18AA">
        <w:rPr>
          <w:rStyle w:val="FootnoteReference"/>
          <w:rFonts w:ascii="Garamond" w:hAnsi="Garamond"/>
          <w:sz w:val="22"/>
          <w:szCs w:val="22"/>
        </w:rPr>
        <w:footnoteRef/>
      </w:r>
      <w:r w:rsidRPr="00AD18AA">
        <w:rPr>
          <w:rFonts w:ascii="Garamond" w:hAnsi="Garamond"/>
          <w:sz w:val="22"/>
          <w:szCs w:val="22"/>
        </w:rPr>
        <w:t xml:space="preserve"> It</w:t>
      </w:r>
      <w:r w:rsidR="00740BC4" w:rsidRPr="00AD18AA">
        <w:rPr>
          <w:rFonts w:ascii="Garamond" w:hAnsi="Garamond"/>
          <w:sz w:val="22"/>
          <w:szCs w:val="22"/>
        </w:rPr>
        <w:t>’</w:t>
      </w:r>
      <w:r w:rsidRPr="00AD18AA">
        <w:rPr>
          <w:rFonts w:ascii="Garamond" w:hAnsi="Garamond"/>
          <w:sz w:val="22"/>
          <w:szCs w:val="22"/>
        </w:rPr>
        <w:t xml:space="preserve">s tough to find </w:t>
      </w:r>
      <w:r w:rsidR="00817495" w:rsidRPr="00AD18AA">
        <w:rPr>
          <w:rFonts w:ascii="Garamond" w:hAnsi="Garamond"/>
          <w:sz w:val="22"/>
          <w:szCs w:val="22"/>
        </w:rPr>
        <w:t>someone to root for in this case</w:t>
      </w:r>
      <w:r w:rsidRPr="00AD18AA">
        <w:rPr>
          <w:rFonts w:ascii="Garamond" w:hAnsi="Garamond"/>
          <w:sz w:val="22"/>
          <w:szCs w:val="22"/>
        </w:rPr>
        <w:t>.</w:t>
      </w:r>
    </w:p>
  </w:footnote>
  <w:footnote w:id="7">
    <w:p w14:paraId="4E3EEB3F" w14:textId="77777777" w:rsidR="00BB10F8" w:rsidRPr="00AD18AA" w:rsidRDefault="00BB10F8">
      <w:pPr>
        <w:pStyle w:val="FootnoteText"/>
        <w:rPr>
          <w:rFonts w:ascii="Garamond" w:hAnsi="Garamond"/>
          <w:sz w:val="22"/>
          <w:szCs w:val="22"/>
        </w:rPr>
      </w:pPr>
      <w:r w:rsidRPr="00AD18AA">
        <w:rPr>
          <w:rStyle w:val="FootnoteReference"/>
          <w:rFonts w:ascii="Garamond" w:hAnsi="Garamond"/>
          <w:sz w:val="22"/>
          <w:szCs w:val="22"/>
        </w:rPr>
        <w:footnoteRef/>
      </w:r>
      <w:r w:rsidRPr="00AD18AA">
        <w:rPr>
          <w:rFonts w:ascii="Garamond" w:hAnsi="Garamond"/>
          <w:sz w:val="22"/>
          <w:szCs w:val="22"/>
        </w:rPr>
        <w:t xml:space="preserve"> This is a belief the majority of the Supreme Court </w:t>
      </w:r>
      <w:r w:rsidR="00817495" w:rsidRPr="00AD18AA">
        <w:rPr>
          <w:rFonts w:ascii="Garamond" w:hAnsi="Garamond"/>
          <w:sz w:val="22"/>
          <w:szCs w:val="22"/>
        </w:rPr>
        <w:t xml:space="preserve">sadly </w:t>
      </w:r>
      <w:r w:rsidRPr="00AD18AA">
        <w:rPr>
          <w:rFonts w:ascii="Garamond" w:hAnsi="Garamond"/>
          <w:sz w:val="22"/>
          <w:szCs w:val="22"/>
        </w:rPr>
        <w:t xml:space="preserve">still seem to hold. </w:t>
      </w:r>
    </w:p>
  </w:footnote>
  <w:footnote w:id="8">
    <w:p w14:paraId="5ED3A7C7" w14:textId="77777777" w:rsidR="007B7E39" w:rsidRPr="00AD18AA" w:rsidRDefault="007B7E39">
      <w:pPr>
        <w:pStyle w:val="FootnoteText"/>
        <w:rPr>
          <w:rFonts w:ascii="Garamond" w:hAnsi="Garamond"/>
          <w:sz w:val="22"/>
          <w:szCs w:val="22"/>
        </w:rPr>
      </w:pPr>
      <w:r w:rsidRPr="00AD18AA">
        <w:rPr>
          <w:rStyle w:val="FootnoteReference"/>
          <w:rFonts w:ascii="Garamond" w:hAnsi="Garamond"/>
          <w:sz w:val="22"/>
          <w:szCs w:val="22"/>
        </w:rPr>
        <w:footnoteRef/>
      </w:r>
      <w:r w:rsidRPr="00AD18AA">
        <w:rPr>
          <w:rFonts w:ascii="Garamond" w:hAnsi="Garamond"/>
          <w:sz w:val="22"/>
          <w:szCs w:val="22"/>
        </w:rPr>
        <w:t xml:space="preserve"> This point is born out by how the courts use social science in their opinions and will be further demonstrated below. One can see the easily distinction at play, however, by comparing, for instance, </w:t>
      </w:r>
      <w:r w:rsidRPr="00AD18AA">
        <w:rPr>
          <w:rFonts w:ascii="Garamond" w:hAnsi="Garamond"/>
          <w:i/>
          <w:sz w:val="22"/>
          <w:szCs w:val="22"/>
        </w:rPr>
        <w:t>Lemcke</w:t>
      </w:r>
      <w:r w:rsidRPr="00AD18AA">
        <w:rPr>
          <w:rFonts w:ascii="Garamond" w:hAnsi="Garamond"/>
          <w:sz w:val="22"/>
          <w:szCs w:val="22"/>
        </w:rPr>
        <w:t xml:space="preserve">, </w:t>
      </w:r>
      <w:r w:rsidRPr="00AD18AA">
        <w:rPr>
          <w:rFonts w:ascii="Garamond" w:hAnsi="Garamond"/>
          <w:i/>
          <w:sz w:val="22"/>
          <w:szCs w:val="22"/>
        </w:rPr>
        <w:t>supra</w:t>
      </w:r>
      <w:r w:rsidRPr="00AD18AA">
        <w:rPr>
          <w:rFonts w:ascii="Garamond" w:hAnsi="Garamond"/>
          <w:sz w:val="22"/>
          <w:szCs w:val="22"/>
        </w:rPr>
        <w:t xml:space="preserve">, 11 Cal.5th 644, with its detailed discussions of social-science research about the general reliability of eyewitness testimony with </w:t>
      </w:r>
      <w:r w:rsidRPr="00AD18AA">
        <w:rPr>
          <w:rFonts w:ascii="Garamond" w:hAnsi="Garamond"/>
          <w:i/>
          <w:sz w:val="22"/>
          <w:szCs w:val="22"/>
        </w:rPr>
        <w:t>Wilkinson v. Bay Shore Lumber Co.</w:t>
      </w:r>
      <w:r w:rsidRPr="00AD18AA">
        <w:rPr>
          <w:rFonts w:ascii="Garamond" w:hAnsi="Garamond"/>
          <w:sz w:val="22"/>
          <w:szCs w:val="22"/>
        </w:rPr>
        <w:t xml:space="preserve"> (1986) 182 Cal.App.3d 594, where the court “decline[d] to take judicial notice of the factual data on this issue presented in appellant's opening brief.” (</w:t>
      </w:r>
      <w:r w:rsidRPr="00AD18AA">
        <w:rPr>
          <w:rFonts w:ascii="Garamond" w:hAnsi="Garamond"/>
          <w:i/>
          <w:sz w:val="22"/>
          <w:szCs w:val="22"/>
        </w:rPr>
        <w:t>Id</w:t>
      </w:r>
      <w:r w:rsidRPr="00AD18AA">
        <w:rPr>
          <w:rFonts w:ascii="Garamond" w:hAnsi="Garamond"/>
          <w:sz w:val="22"/>
          <w:szCs w:val="22"/>
        </w:rPr>
        <w:t>. at p. 598, fn. 3.) There, the issue was whether dry rot in wood could be cured by “proper cutting, curing, and storing.” (</w:t>
      </w:r>
      <w:r w:rsidRPr="00AD18AA">
        <w:rPr>
          <w:rFonts w:ascii="Garamond" w:hAnsi="Garamond"/>
          <w:i/>
          <w:sz w:val="22"/>
          <w:szCs w:val="22"/>
        </w:rPr>
        <w:t>Ibid</w:t>
      </w:r>
      <w:r w:rsidRPr="00AD18AA">
        <w:rPr>
          <w:rFonts w:ascii="Garamond" w:hAnsi="Garamond"/>
          <w:sz w:val="22"/>
          <w:szCs w:val="22"/>
        </w:rPr>
        <w:t xml:space="preserve">.) No evidence was introduced at the trial level, but appellant apparently tried to sneak it in through the opening brief. The court “[did] not agree that the principles established in the ‘Brandeis Brief’ and accepted by the Supreme Court in </w:t>
      </w:r>
      <w:r w:rsidRPr="00AD18AA">
        <w:rPr>
          <w:rFonts w:ascii="Garamond" w:hAnsi="Garamond"/>
          <w:i/>
          <w:sz w:val="22"/>
          <w:szCs w:val="22"/>
        </w:rPr>
        <w:t>Muller v. Oregon</w:t>
      </w:r>
      <w:r w:rsidRPr="00AD18AA">
        <w:rPr>
          <w:rFonts w:ascii="Garamond" w:hAnsi="Garamond"/>
          <w:sz w:val="22"/>
          <w:szCs w:val="22"/>
        </w:rPr>
        <w:t xml:space="preserve"> (1908) 208 U.S. 412” applied to appellant’s case. (</w:t>
      </w:r>
      <w:r w:rsidRPr="00AD18AA">
        <w:rPr>
          <w:rFonts w:ascii="Garamond" w:hAnsi="Garamond"/>
          <w:i/>
          <w:sz w:val="22"/>
          <w:szCs w:val="22"/>
        </w:rPr>
        <w:t>Ibid</w:t>
      </w:r>
      <w:r w:rsidRPr="00AD18AA">
        <w:rPr>
          <w:rFonts w:ascii="Garamond" w:hAnsi="Garamond"/>
          <w:sz w:val="22"/>
          <w:szCs w:val="22"/>
        </w:rPr>
        <w:t xml:space="preserve">.) </w:t>
      </w:r>
    </w:p>
  </w:footnote>
  <w:footnote w:id="9">
    <w:p w14:paraId="78D8599A" w14:textId="77777777" w:rsidR="0016022C" w:rsidRPr="00AD18AA" w:rsidRDefault="0016022C" w:rsidP="0016022C">
      <w:pPr>
        <w:pStyle w:val="FootnoteText"/>
        <w:rPr>
          <w:rFonts w:ascii="Garamond" w:hAnsi="Garamond"/>
          <w:sz w:val="22"/>
          <w:szCs w:val="22"/>
        </w:rPr>
      </w:pPr>
      <w:r w:rsidRPr="00AD18AA">
        <w:rPr>
          <w:rStyle w:val="FootnoteReference"/>
          <w:rFonts w:ascii="Garamond" w:hAnsi="Garamond"/>
          <w:sz w:val="22"/>
          <w:szCs w:val="22"/>
        </w:rPr>
        <w:footnoteRef/>
      </w:r>
      <w:r w:rsidRPr="00AD18AA">
        <w:rPr>
          <w:rFonts w:ascii="Garamond" w:hAnsi="Garamond"/>
          <w:sz w:val="22"/>
          <w:szCs w:val="22"/>
        </w:rPr>
        <w:t xml:space="preserve"> </w:t>
      </w:r>
      <w:r w:rsidRPr="00AD18AA">
        <w:rPr>
          <w:rFonts w:ascii="Garamond" w:hAnsi="Garamond" w:cs="AppleSystemUIFont"/>
          <w:sz w:val="22"/>
          <w:szCs w:val="22"/>
        </w:rPr>
        <w:t>See Evid. Code, §§ 450-460. In general, a court can take judicial notice of the law. Thus, statutes, regulations, and cases law can be cited. Under this concept, a court can cite secondary legal material, such as treatises like Witkin or CEB books. Law review articles falls within this category. The court can take judicial notice of things that are common knowledge, easily verifiable, or not subject to reasonable dispute, such as the definitions of words, that Paris is in France, etc. In contrast, a court cannot take judicial notice of something that is not a law or an official act by a government body, or not common knowledge or undisputable facts. This prohibition includes newspaper articles (</w:t>
      </w:r>
      <w:r w:rsidRPr="00AD18AA">
        <w:rPr>
          <w:rFonts w:ascii="Garamond" w:hAnsi="Garamond" w:cs="AppleSystemUIFont"/>
          <w:i/>
          <w:iCs/>
          <w:sz w:val="22"/>
          <w:szCs w:val="22"/>
        </w:rPr>
        <w:t>Voris v. Lampert</w:t>
      </w:r>
      <w:r w:rsidRPr="00AD18AA">
        <w:rPr>
          <w:rFonts w:ascii="Garamond" w:hAnsi="Garamond" w:cs="AppleSystemUIFont"/>
          <w:sz w:val="22"/>
          <w:szCs w:val="22"/>
        </w:rPr>
        <w:t xml:space="preserve"> (2019) 7 Cal.5th 1141, 1147, fn. 5), and information on the internet (</w:t>
      </w:r>
      <w:r w:rsidRPr="00AD18AA">
        <w:rPr>
          <w:rFonts w:ascii="Garamond" w:hAnsi="Garamond" w:cs="AppleSystemUIFont"/>
          <w:i/>
          <w:iCs/>
          <w:sz w:val="22"/>
          <w:szCs w:val="22"/>
        </w:rPr>
        <w:t>Hartwell Corp. v. Superior Court</w:t>
      </w:r>
      <w:r w:rsidRPr="00AD18AA">
        <w:rPr>
          <w:rFonts w:ascii="Garamond" w:hAnsi="Garamond" w:cs="AppleSystemUIFont"/>
          <w:sz w:val="22"/>
          <w:szCs w:val="22"/>
        </w:rPr>
        <w:t xml:space="preserve"> (2002) 27 Cal.4th 256, 279, fn. 12). Although it is becoming more commonplace to see an appellate court including such otherwise impermissible reference to bolster an opinion, it not proper for the parties to move to do this.</w:t>
      </w:r>
    </w:p>
  </w:footnote>
  <w:footnote w:id="10">
    <w:p w14:paraId="1EF260C2" w14:textId="77777777" w:rsidR="005E6F77" w:rsidRPr="00AD18AA" w:rsidRDefault="005E6F77">
      <w:pPr>
        <w:pStyle w:val="FootnoteText"/>
        <w:rPr>
          <w:rFonts w:ascii="Garamond" w:hAnsi="Garamond"/>
          <w:sz w:val="22"/>
          <w:szCs w:val="22"/>
        </w:rPr>
      </w:pPr>
      <w:r w:rsidRPr="00AD18AA">
        <w:rPr>
          <w:rStyle w:val="FootnoteReference"/>
          <w:rFonts w:ascii="Garamond" w:hAnsi="Garamond"/>
          <w:sz w:val="22"/>
          <w:szCs w:val="22"/>
        </w:rPr>
        <w:footnoteRef/>
      </w:r>
      <w:r w:rsidRPr="00AD18AA">
        <w:rPr>
          <w:rFonts w:ascii="Garamond" w:hAnsi="Garamond"/>
          <w:sz w:val="22"/>
          <w:szCs w:val="22"/>
        </w:rPr>
        <w:t xml:space="preserve"> See, e.g., Gary L. Wells et al., </w:t>
      </w:r>
      <w:r w:rsidRPr="00AD18AA">
        <w:rPr>
          <w:rFonts w:ascii="Garamond" w:hAnsi="Garamond"/>
          <w:i/>
          <w:sz w:val="22"/>
          <w:szCs w:val="22"/>
        </w:rPr>
        <w:t>Accuracy, Confidence, and Juror Perceptio</w:t>
      </w:r>
      <w:r w:rsidR="008F7508" w:rsidRPr="00AD18AA">
        <w:rPr>
          <w:rFonts w:ascii="Garamond" w:hAnsi="Garamond"/>
          <w:i/>
          <w:sz w:val="22"/>
          <w:szCs w:val="22"/>
        </w:rPr>
        <w:t>ns in Eyewitness Identification</w:t>
      </w:r>
      <w:r w:rsidR="008F7508" w:rsidRPr="00AD18AA">
        <w:rPr>
          <w:rFonts w:ascii="Garamond" w:hAnsi="Garamond"/>
          <w:sz w:val="22"/>
          <w:szCs w:val="22"/>
        </w:rPr>
        <w:t xml:space="preserve"> (1979)</w:t>
      </w:r>
      <w:r w:rsidRPr="00AD18AA">
        <w:rPr>
          <w:rFonts w:ascii="Garamond" w:hAnsi="Garamond"/>
          <w:sz w:val="22"/>
          <w:szCs w:val="22"/>
        </w:rPr>
        <w:t xml:space="preserve"> 64 J. Applied Psychol. 440, 446</w:t>
      </w:r>
      <w:r w:rsidR="008F7508" w:rsidRPr="00AD18AA">
        <w:rPr>
          <w:rFonts w:ascii="Garamond" w:hAnsi="Garamond"/>
          <w:sz w:val="22"/>
          <w:szCs w:val="22"/>
        </w:rPr>
        <w:t xml:space="preserve">; Michael R. </w:t>
      </w:r>
      <w:r w:rsidRPr="00AD18AA">
        <w:rPr>
          <w:rFonts w:ascii="Garamond" w:hAnsi="Garamond"/>
          <w:sz w:val="22"/>
          <w:szCs w:val="22"/>
        </w:rPr>
        <w:t xml:space="preserve">Leippe et al., </w:t>
      </w:r>
      <w:r w:rsidRPr="00AD18AA">
        <w:rPr>
          <w:rFonts w:ascii="Garamond" w:hAnsi="Garamond"/>
          <w:i/>
          <w:sz w:val="22"/>
          <w:szCs w:val="22"/>
        </w:rPr>
        <w:t>Cueing Confidence in Eyewitness Identifications: Influence of Biased Lineup Instructions and Pre-Identification Memory Feedback Under Varying Lineup Conditions</w:t>
      </w:r>
      <w:r w:rsidR="008F7508" w:rsidRPr="00AD18AA">
        <w:rPr>
          <w:rFonts w:ascii="Garamond" w:hAnsi="Garamond"/>
          <w:sz w:val="22"/>
          <w:szCs w:val="22"/>
        </w:rPr>
        <w:t xml:space="preserve"> (2009) 33 Law &amp; Hum. Behav. 194, 194 </w:t>
      </w:r>
      <w:r w:rsidRPr="00AD18AA">
        <w:rPr>
          <w:rFonts w:ascii="Garamond" w:hAnsi="Garamond"/>
          <w:sz w:val="22"/>
          <w:szCs w:val="22"/>
        </w:rPr>
        <w:t>(summarizing prior research).</w:t>
      </w:r>
    </w:p>
  </w:footnote>
  <w:footnote w:id="11">
    <w:p w14:paraId="5376B709" w14:textId="77777777" w:rsidR="005E6F77" w:rsidRPr="00AD18AA" w:rsidRDefault="005E6F77">
      <w:pPr>
        <w:pStyle w:val="FootnoteText"/>
        <w:rPr>
          <w:rFonts w:ascii="Garamond" w:hAnsi="Garamond"/>
          <w:sz w:val="22"/>
          <w:szCs w:val="22"/>
        </w:rPr>
      </w:pPr>
      <w:r w:rsidRPr="00AD18AA">
        <w:rPr>
          <w:rStyle w:val="FootnoteReference"/>
          <w:rFonts w:ascii="Garamond" w:hAnsi="Garamond"/>
          <w:sz w:val="22"/>
          <w:szCs w:val="22"/>
        </w:rPr>
        <w:footnoteRef/>
      </w:r>
      <w:r w:rsidRPr="00AD18AA">
        <w:rPr>
          <w:rFonts w:ascii="Garamond" w:hAnsi="Garamond"/>
          <w:sz w:val="22"/>
          <w:szCs w:val="22"/>
        </w:rPr>
        <w:t xml:space="preserve"> See, e.g., Tanja R. Benton et al., </w:t>
      </w:r>
      <w:r w:rsidRPr="00AD18AA">
        <w:rPr>
          <w:rFonts w:ascii="Garamond" w:hAnsi="Garamond"/>
          <w:i/>
          <w:sz w:val="22"/>
          <w:szCs w:val="22"/>
        </w:rPr>
        <w:t>Eyewitness Memory is Still Not Common Sense: Comparing Jurors, Judges and Law Enf</w:t>
      </w:r>
      <w:r w:rsidR="008F7508" w:rsidRPr="00AD18AA">
        <w:rPr>
          <w:rFonts w:ascii="Garamond" w:hAnsi="Garamond"/>
          <w:i/>
          <w:sz w:val="22"/>
          <w:szCs w:val="22"/>
        </w:rPr>
        <w:t>orcement to Eyewitness Experts</w:t>
      </w:r>
      <w:r w:rsidR="008F7508" w:rsidRPr="00AD18AA">
        <w:rPr>
          <w:rFonts w:ascii="Garamond" w:hAnsi="Garamond"/>
          <w:sz w:val="22"/>
          <w:szCs w:val="22"/>
        </w:rPr>
        <w:t xml:space="preserve"> (2006) </w:t>
      </w:r>
      <w:r w:rsidRPr="00AD18AA">
        <w:rPr>
          <w:rFonts w:ascii="Garamond" w:hAnsi="Garamond"/>
          <w:sz w:val="22"/>
          <w:szCs w:val="22"/>
        </w:rPr>
        <w:t>20 Applied Cognitive Psychol. 115, 120 (finding that only 38 percent of jurors surveyed correctly understood the relationship between accuracy and confidence and only 50 percent of jurors recognized that witnesses</w:t>
      </w:r>
      <w:r w:rsidR="00740BC4" w:rsidRPr="00AD18AA">
        <w:rPr>
          <w:rFonts w:ascii="Garamond" w:hAnsi="Garamond"/>
          <w:sz w:val="22"/>
          <w:szCs w:val="22"/>
        </w:rPr>
        <w:t>’</w:t>
      </w:r>
      <w:r w:rsidRPr="00AD18AA">
        <w:rPr>
          <w:rFonts w:ascii="Garamond" w:hAnsi="Garamond"/>
          <w:sz w:val="22"/>
          <w:szCs w:val="22"/>
        </w:rPr>
        <w:t xml:space="preserve"> confidence can be manipulated).</w:t>
      </w:r>
    </w:p>
  </w:footnote>
  <w:footnote w:id="12">
    <w:p w14:paraId="0C58B5D4" w14:textId="77777777" w:rsidR="005E6F77" w:rsidRPr="00AD18AA" w:rsidRDefault="005E6F77">
      <w:pPr>
        <w:pStyle w:val="FootnoteText"/>
        <w:rPr>
          <w:rFonts w:ascii="Garamond" w:hAnsi="Garamond"/>
          <w:sz w:val="22"/>
          <w:szCs w:val="22"/>
        </w:rPr>
      </w:pPr>
      <w:r w:rsidRPr="00AD18AA">
        <w:rPr>
          <w:rStyle w:val="FootnoteReference"/>
          <w:rFonts w:ascii="Garamond" w:hAnsi="Garamond"/>
          <w:sz w:val="22"/>
          <w:szCs w:val="22"/>
        </w:rPr>
        <w:footnoteRef/>
      </w:r>
      <w:r w:rsidR="00675F53" w:rsidRPr="00AD18AA">
        <w:rPr>
          <w:rFonts w:ascii="Garamond" w:hAnsi="Garamond"/>
          <w:sz w:val="22"/>
          <w:szCs w:val="22"/>
        </w:rPr>
        <w:t xml:space="preserve"> </w:t>
      </w:r>
      <w:r w:rsidRPr="00AD18AA">
        <w:rPr>
          <w:rFonts w:ascii="Garamond" w:hAnsi="Garamond"/>
          <w:i/>
          <w:sz w:val="22"/>
          <w:szCs w:val="22"/>
        </w:rPr>
        <w:t>State v. Lawson</w:t>
      </w:r>
      <w:r w:rsidRPr="00AD18AA">
        <w:rPr>
          <w:rFonts w:ascii="Garamond" w:hAnsi="Garamond"/>
          <w:sz w:val="22"/>
          <w:szCs w:val="22"/>
        </w:rPr>
        <w:t xml:space="preserve"> (</w:t>
      </w:r>
      <w:r w:rsidR="00675F53" w:rsidRPr="00AD18AA">
        <w:rPr>
          <w:rFonts w:ascii="Garamond" w:hAnsi="Garamond"/>
          <w:sz w:val="22"/>
          <w:szCs w:val="22"/>
        </w:rPr>
        <w:t xml:space="preserve">Or. </w:t>
      </w:r>
      <w:r w:rsidRPr="00AD18AA">
        <w:rPr>
          <w:rFonts w:ascii="Garamond" w:hAnsi="Garamond"/>
          <w:sz w:val="22"/>
          <w:szCs w:val="22"/>
        </w:rPr>
        <w:t xml:space="preserve">2012) </w:t>
      </w:r>
      <w:r w:rsidR="00675F53" w:rsidRPr="00AD18AA">
        <w:rPr>
          <w:rFonts w:ascii="Garamond" w:hAnsi="Garamond"/>
          <w:sz w:val="22"/>
          <w:szCs w:val="22"/>
        </w:rPr>
        <w:t>291 P.3d 673, 704–705</w:t>
      </w:r>
      <w:r w:rsidRPr="00AD18AA">
        <w:rPr>
          <w:rFonts w:ascii="Garamond" w:hAnsi="Garamond"/>
          <w:sz w:val="22"/>
          <w:szCs w:val="22"/>
        </w:rPr>
        <w:t xml:space="preserve">; see </w:t>
      </w:r>
      <w:r w:rsidRPr="00AD18AA">
        <w:rPr>
          <w:rFonts w:ascii="Garamond" w:hAnsi="Garamond"/>
          <w:i/>
          <w:sz w:val="22"/>
          <w:szCs w:val="22"/>
        </w:rPr>
        <w:t>State v. Ledbetter</w:t>
      </w:r>
      <w:r w:rsidRPr="00AD18AA">
        <w:rPr>
          <w:rFonts w:ascii="Garamond" w:hAnsi="Garamond"/>
          <w:sz w:val="22"/>
          <w:szCs w:val="22"/>
        </w:rPr>
        <w:t xml:space="preserve"> (</w:t>
      </w:r>
      <w:r w:rsidR="00675F53" w:rsidRPr="00AD18AA">
        <w:rPr>
          <w:rFonts w:ascii="Garamond" w:hAnsi="Garamond"/>
          <w:sz w:val="22"/>
          <w:szCs w:val="22"/>
        </w:rPr>
        <w:t xml:space="preserve">Conn. </w:t>
      </w:r>
      <w:r w:rsidRPr="00AD18AA">
        <w:rPr>
          <w:rFonts w:ascii="Garamond" w:hAnsi="Garamond"/>
          <w:sz w:val="22"/>
          <w:szCs w:val="22"/>
        </w:rPr>
        <w:t>2005</w:t>
      </w:r>
      <w:r w:rsidR="00675F53" w:rsidRPr="00AD18AA">
        <w:rPr>
          <w:rFonts w:ascii="Garamond" w:hAnsi="Garamond"/>
          <w:sz w:val="22"/>
          <w:szCs w:val="22"/>
        </w:rPr>
        <w:t xml:space="preserve">) </w:t>
      </w:r>
      <w:r w:rsidRPr="00AD18AA">
        <w:rPr>
          <w:rFonts w:ascii="Garamond" w:hAnsi="Garamond"/>
          <w:sz w:val="22"/>
          <w:szCs w:val="22"/>
        </w:rPr>
        <w:t xml:space="preserve">881 A.2d 290, 311–313] [reviewing research showing that </w:t>
      </w:r>
      <w:r w:rsidR="00740BC4" w:rsidRPr="00AD18AA">
        <w:rPr>
          <w:rFonts w:ascii="Garamond" w:hAnsi="Garamond"/>
          <w:sz w:val="22"/>
          <w:szCs w:val="22"/>
        </w:rPr>
        <w:t>“</w:t>
      </w:r>
      <w:r w:rsidRPr="00AD18AA">
        <w:rPr>
          <w:rFonts w:ascii="Garamond" w:hAnsi="Garamond"/>
          <w:sz w:val="22"/>
          <w:szCs w:val="22"/>
        </w:rPr>
        <w:t>a weak correlation, at most, exists between the level of certainty demonstrated by the witness at the identification and the accuracy of that identification</w:t>
      </w:r>
      <w:r w:rsidR="00740BC4" w:rsidRPr="00AD18AA">
        <w:rPr>
          <w:rFonts w:ascii="Garamond" w:hAnsi="Garamond"/>
          <w:sz w:val="22"/>
          <w:szCs w:val="22"/>
        </w:rPr>
        <w:t>”</w:t>
      </w:r>
      <w:r w:rsidRPr="00AD18AA">
        <w:rPr>
          <w:rFonts w:ascii="Garamond" w:hAnsi="Garamond"/>
          <w:sz w:val="22"/>
          <w:szCs w:val="22"/>
        </w:rPr>
        <w:t xml:space="preserve"> and that </w:t>
      </w:r>
      <w:r w:rsidR="00740BC4" w:rsidRPr="00AD18AA">
        <w:rPr>
          <w:rFonts w:ascii="Garamond" w:hAnsi="Garamond"/>
          <w:sz w:val="22"/>
          <w:szCs w:val="22"/>
        </w:rPr>
        <w:t>“</w:t>
      </w:r>
      <w:r w:rsidRPr="00AD18AA">
        <w:rPr>
          <w:rFonts w:ascii="Garamond" w:hAnsi="Garamond"/>
          <w:sz w:val="22"/>
          <w:szCs w:val="22"/>
        </w:rPr>
        <w:t>this factor seems to have a significant impact on the [jury</w:t>
      </w:r>
      <w:r w:rsidR="00740BC4" w:rsidRPr="00AD18AA">
        <w:rPr>
          <w:rFonts w:ascii="Garamond" w:hAnsi="Garamond"/>
          <w:sz w:val="22"/>
          <w:szCs w:val="22"/>
        </w:rPr>
        <w:t>’</w:t>
      </w:r>
      <w:r w:rsidRPr="00AD18AA">
        <w:rPr>
          <w:rFonts w:ascii="Garamond" w:hAnsi="Garamond"/>
          <w:sz w:val="22"/>
          <w:szCs w:val="22"/>
        </w:rPr>
        <w:t>s] reliability analysis</w:t>
      </w:r>
      <w:r w:rsidR="00740BC4" w:rsidRPr="00AD18AA">
        <w:rPr>
          <w:rFonts w:ascii="Garamond" w:hAnsi="Garamond"/>
          <w:sz w:val="22"/>
          <w:szCs w:val="22"/>
        </w:rPr>
        <w:t>”</w:t>
      </w:r>
      <w:r w:rsidR="007412B3" w:rsidRPr="00AD18AA">
        <w:rPr>
          <w:rFonts w:ascii="Garamond" w:hAnsi="Garamond"/>
          <w:sz w:val="22"/>
          <w:szCs w:val="22"/>
        </w:rPr>
        <w:t>].</w:t>
      </w:r>
    </w:p>
  </w:footnote>
  <w:footnote w:id="13">
    <w:p w14:paraId="42444C86" w14:textId="77777777" w:rsidR="00675F53" w:rsidRPr="00AD18AA" w:rsidRDefault="00675F53">
      <w:pPr>
        <w:pStyle w:val="FootnoteText"/>
        <w:rPr>
          <w:rFonts w:ascii="Garamond" w:hAnsi="Garamond"/>
          <w:sz w:val="22"/>
          <w:szCs w:val="22"/>
        </w:rPr>
      </w:pPr>
      <w:r w:rsidRPr="00AD18AA">
        <w:rPr>
          <w:rStyle w:val="FootnoteReference"/>
          <w:rFonts w:ascii="Garamond" w:hAnsi="Garamond"/>
          <w:sz w:val="22"/>
          <w:szCs w:val="22"/>
        </w:rPr>
        <w:footnoteRef/>
      </w:r>
      <w:r w:rsidRPr="00AD18AA">
        <w:rPr>
          <w:rFonts w:ascii="Garamond" w:hAnsi="Garamond"/>
          <w:sz w:val="22"/>
          <w:szCs w:val="22"/>
        </w:rPr>
        <w:t xml:space="preserve"> </w:t>
      </w:r>
      <w:r w:rsidRPr="00AD18AA">
        <w:rPr>
          <w:rFonts w:ascii="Garamond" w:hAnsi="Garamond"/>
          <w:i/>
          <w:sz w:val="22"/>
          <w:szCs w:val="22"/>
        </w:rPr>
        <w:t>Lawson</w:t>
      </w:r>
      <w:r w:rsidRPr="00AD18AA">
        <w:rPr>
          <w:rFonts w:ascii="Garamond" w:hAnsi="Garamond"/>
          <w:sz w:val="22"/>
          <w:szCs w:val="22"/>
        </w:rPr>
        <w:t xml:space="preserve">, </w:t>
      </w:r>
      <w:r w:rsidRPr="00AD18AA">
        <w:rPr>
          <w:rFonts w:ascii="Garamond" w:hAnsi="Garamond"/>
          <w:i/>
          <w:sz w:val="22"/>
          <w:szCs w:val="22"/>
        </w:rPr>
        <w:t>supra</w:t>
      </w:r>
      <w:r w:rsidRPr="00AD18AA">
        <w:rPr>
          <w:rFonts w:ascii="Garamond" w:hAnsi="Garamond"/>
          <w:sz w:val="22"/>
          <w:szCs w:val="22"/>
        </w:rPr>
        <w:t xml:space="preserve">, 291 P.3d 673; </w:t>
      </w:r>
      <w:r w:rsidRPr="00AD18AA">
        <w:rPr>
          <w:rFonts w:ascii="Garamond" w:hAnsi="Garamond"/>
          <w:i/>
          <w:sz w:val="22"/>
          <w:szCs w:val="22"/>
        </w:rPr>
        <w:t>Ledbetter</w:t>
      </w:r>
      <w:r w:rsidRPr="00AD18AA">
        <w:rPr>
          <w:rFonts w:ascii="Garamond" w:hAnsi="Garamond"/>
          <w:sz w:val="22"/>
          <w:szCs w:val="22"/>
        </w:rPr>
        <w:t xml:space="preserve">, </w:t>
      </w:r>
      <w:r w:rsidRPr="00AD18AA">
        <w:rPr>
          <w:rFonts w:ascii="Garamond" w:hAnsi="Garamond"/>
          <w:i/>
          <w:sz w:val="22"/>
          <w:szCs w:val="22"/>
        </w:rPr>
        <w:t>supra</w:t>
      </w:r>
      <w:r w:rsidRPr="00AD18AA">
        <w:rPr>
          <w:rFonts w:ascii="Garamond" w:hAnsi="Garamond"/>
          <w:sz w:val="22"/>
          <w:szCs w:val="22"/>
        </w:rPr>
        <w:t xml:space="preserve">, 881 A.2d 290; </w:t>
      </w:r>
      <w:r w:rsidRPr="00AD18AA">
        <w:rPr>
          <w:rFonts w:ascii="Garamond" w:hAnsi="Garamond"/>
          <w:i/>
          <w:sz w:val="22"/>
          <w:szCs w:val="22"/>
        </w:rPr>
        <w:t>State v. Henderson</w:t>
      </w:r>
      <w:r w:rsidRPr="00AD18AA">
        <w:rPr>
          <w:rFonts w:ascii="Garamond" w:hAnsi="Garamond"/>
          <w:sz w:val="22"/>
          <w:szCs w:val="22"/>
        </w:rPr>
        <w:t xml:space="preserve"> (2011) 27 A.3d 872, 889.</w:t>
      </w:r>
    </w:p>
  </w:footnote>
  <w:footnote w:id="14">
    <w:p w14:paraId="51388799" w14:textId="77777777" w:rsidR="00D37CE8" w:rsidRPr="00AD18AA" w:rsidRDefault="00D37CE8">
      <w:pPr>
        <w:pStyle w:val="FootnoteText"/>
        <w:rPr>
          <w:rFonts w:ascii="Garamond" w:hAnsi="Garamond"/>
          <w:sz w:val="22"/>
          <w:szCs w:val="22"/>
        </w:rPr>
      </w:pPr>
      <w:r w:rsidRPr="00AD18AA">
        <w:rPr>
          <w:rStyle w:val="FootnoteReference"/>
          <w:rFonts w:ascii="Garamond" w:hAnsi="Garamond"/>
          <w:sz w:val="22"/>
          <w:szCs w:val="22"/>
        </w:rPr>
        <w:footnoteRef/>
      </w:r>
      <w:r w:rsidRPr="00AD18AA">
        <w:rPr>
          <w:rFonts w:ascii="Garamond" w:hAnsi="Garamond"/>
          <w:sz w:val="22"/>
          <w:szCs w:val="22"/>
        </w:rPr>
        <w:t xml:space="preserve"> See, e.g., Deffenbacher et al., </w:t>
      </w:r>
      <w:r w:rsidRPr="00AD18AA">
        <w:rPr>
          <w:rFonts w:ascii="Garamond" w:hAnsi="Garamond"/>
          <w:i/>
          <w:sz w:val="22"/>
          <w:szCs w:val="22"/>
        </w:rPr>
        <w:t>Forgetting the Once-Seen Face</w:t>
      </w:r>
      <w:r w:rsidRPr="00AD18AA">
        <w:rPr>
          <w:rFonts w:ascii="Garamond" w:hAnsi="Garamond"/>
          <w:sz w:val="22"/>
          <w:szCs w:val="22"/>
        </w:rPr>
        <w:t xml:space="preserve"> (2008) 14 J. Experimental Psychol. 139, 147-148.</w:t>
      </w:r>
    </w:p>
  </w:footnote>
  <w:footnote w:id="15">
    <w:p w14:paraId="00B6C709" w14:textId="77777777" w:rsidR="00D37CE8" w:rsidRPr="00AD18AA" w:rsidRDefault="00D37CE8">
      <w:pPr>
        <w:pStyle w:val="FootnoteText"/>
        <w:rPr>
          <w:rFonts w:ascii="Garamond" w:hAnsi="Garamond"/>
          <w:sz w:val="22"/>
          <w:szCs w:val="22"/>
        </w:rPr>
      </w:pPr>
      <w:r w:rsidRPr="00AD18AA">
        <w:rPr>
          <w:rStyle w:val="FootnoteReference"/>
          <w:rFonts w:ascii="Garamond" w:hAnsi="Garamond"/>
          <w:sz w:val="22"/>
          <w:szCs w:val="22"/>
        </w:rPr>
        <w:footnoteRef/>
      </w:r>
      <w:r w:rsidRPr="00AD18AA">
        <w:rPr>
          <w:rFonts w:ascii="Garamond" w:hAnsi="Garamond"/>
          <w:sz w:val="22"/>
          <w:szCs w:val="22"/>
        </w:rPr>
        <w:t xml:space="preserve"> Deffenbacher et al., </w:t>
      </w:r>
      <w:r w:rsidRPr="00AD18AA">
        <w:rPr>
          <w:rFonts w:ascii="Garamond" w:hAnsi="Garamond"/>
          <w:i/>
          <w:sz w:val="22"/>
          <w:szCs w:val="22"/>
        </w:rPr>
        <w:t>A Meta-Analytic Review of the Effects of High Stress on Eyewitness Memory</w:t>
      </w:r>
      <w:r w:rsidRPr="00AD18AA">
        <w:rPr>
          <w:rFonts w:ascii="Garamond" w:hAnsi="Garamond"/>
          <w:sz w:val="22"/>
          <w:szCs w:val="22"/>
        </w:rPr>
        <w:t xml:space="preserve"> (2004) 28 Law &amp; Hum. Behav. 687, 694 (analyzing 27 studies).</w:t>
      </w:r>
    </w:p>
  </w:footnote>
  <w:footnote w:id="16">
    <w:p w14:paraId="7EFE5E8F" w14:textId="77777777" w:rsidR="00D37CE8" w:rsidRPr="00AD18AA" w:rsidRDefault="00D37CE8">
      <w:pPr>
        <w:pStyle w:val="FootnoteText"/>
        <w:rPr>
          <w:rFonts w:ascii="Garamond" w:hAnsi="Garamond"/>
          <w:sz w:val="22"/>
          <w:szCs w:val="22"/>
        </w:rPr>
      </w:pPr>
      <w:r w:rsidRPr="00AD18AA">
        <w:rPr>
          <w:rStyle w:val="FootnoteReference"/>
          <w:rFonts w:ascii="Garamond" w:hAnsi="Garamond"/>
          <w:sz w:val="22"/>
          <w:szCs w:val="22"/>
        </w:rPr>
        <w:footnoteRef/>
      </w:r>
      <w:r w:rsidRPr="00AD18AA">
        <w:rPr>
          <w:rFonts w:ascii="Garamond" w:hAnsi="Garamond"/>
          <w:sz w:val="22"/>
          <w:szCs w:val="22"/>
        </w:rPr>
        <w:t xml:space="preserve"> See Memon et al., </w:t>
      </w:r>
      <w:r w:rsidRPr="00AD18AA">
        <w:rPr>
          <w:rFonts w:ascii="Garamond" w:hAnsi="Garamond"/>
          <w:i/>
          <w:sz w:val="22"/>
          <w:szCs w:val="22"/>
        </w:rPr>
        <w:t>Exposure Duration: Effects on Eyewitness Accuracy and Confidence</w:t>
      </w:r>
      <w:r w:rsidRPr="00AD18AA">
        <w:rPr>
          <w:rFonts w:ascii="Garamond" w:hAnsi="Garamond"/>
          <w:sz w:val="22"/>
          <w:szCs w:val="22"/>
        </w:rPr>
        <w:t xml:space="preserve"> (2003) 94 British J. Psychol. 339, 345 tbl. 1; see also Shapiro &amp; Penrod, </w:t>
      </w:r>
      <w:r w:rsidRPr="00AD18AA">
        <w:rPr>
          <w:rFonts w:ascii="Garamond" w:hAnsi="Garamond"/>
          <w:i/>
          <w:sz w:val="22"/>
          <w:szCs w:val="22"/>
        </w:rPr>
        <w:t>Meta-Analysis of Facial Identification Studies</w:t>
      </w:r>
      <w:r w:rsidRPr="00AD18AA">
        <w:rPr>
          <w:rFonts w:ascii="Garamond" w:hAnsi="Garamond"/>
          <w:sz w:val="22"/>
          <w:szCs w:val="22"/>
        </w:rPr>
        <w:t xml:space="preserve"> (1986) 100 Psychol. Bull. 139, 140, 150 (conducting a meta-analysis of 128 existing studies involving nearly 17,000 subjects and finding a linear trend in the relationship between exposure duration and identification accuracy).</w:t>
      </w:r>
    </w:p>
  </w:footnote>
  <w:footnote w:id="17">
    <w:p w14:paraId="7F7EA04A" w14:textId="77777777" w:rsidR="00D37CE8" w:rsidRPr="00AD18AA" w:rsidRDefault="00D37CE8" w:rsidP="00D37CE8">
      <w:pPr>
        <w:pStyle w:val="FootnoteText"/>
        <w:rPr>
          <w:rFonts w:ascii="Garamond" w:hAnsi="Garamond"/>
          <w:sz w:val="22"/>
          <w:szCs w:val="22"/>
        </w:rPr>
      </w:pPr>
      <w:r w:rsidRPr="00AD18AA">
        <w:rPr>
          <w:rStyle w:val="FootnoteReference"/>
          <w:rFonts w:ascii="Garamond" w:hAnsi="Garamond"/>
          <w:sz w:val="22"/>
          <w:szCs w:val="22"/>
        </w:rPr>
        <w:footnoteRef/>
      </w:r>
      <w:r w:rsidRPr="00AD18AA">
        <w:rPr>
          <w:rFonts w:ascii="Garamond" w:hAnsi="Garamond"/>
          <w:sz w:val="22"/>
          <w:szCs w:val="22"/>
        </w:rPr>
        <w:t xml:space="preserve"> See Loftus &amp; Harley, </w:t>
      </w:r>
      <w:r w:rsidRPr="00AD18AA">
        <w:rPr>
          <w:rFonts w:ascii="Garamond" w:hAnsi="Garamond"/>
          <w:i/>
          <w:sz w:val="22"/>
          <w:szCs w:val="22"/>
        </w:rPr>
        <w:t>Why Is It Easier To Identify Someone Close Than Far Away?</w:t>
      </w:r>
      <w:r w:rsidRPr="00AD18AA">
        <w:rPr>
          <w:rFonts w:ascii="Garamond" w:hAnsi="Garamond"/>
          <w:sz w:val="22"/>
          <w:szCs w:val="22"/>
        </w:rPr>
        <w:t xml:space="preserve"> (2005) 12 Psychonomic Bull. &amp; Rev. 43, 63, cited in Wells &amp; Quinlivan, </w:t>
      </w:r>
      <w:r w:rsidRPr="00AD18AA">
        <w:rPr>
          <w:rFonts w:ascii="Garamond" w:hAnsi="Garamond"/>
          <w:i/>
          <w:sz w:val="22"/>
          <w:szCs w:val="22"/>
        </w:rPr>
        <w:t>Suggestive Eyewitness Identification Procedures and the Supreme Court</w:t>
      </w:r>
      <w:r w:rsidR="00740BC4" w:rsidRPr="00AD18AA">
        <w:rPr>
          <w:rFonts w:ascii="Garamond" w:hAnsi="Garamond"/>
          <w:i/>
          <w:sz w:val="22"/>
          <w:szCs w:val="22"/>
        </w:rPr>
        <w:t>’</w:t>
      </w:r>
      <w:r w:rsidRPr="00AD18AA">
        <w:rPr>
          <w:rFonts w:ascii="Garamond" w:hAnsi="Garamond"/>
          <w:i/>
          <w:sz w:val="22"/>
          <w:szCs w:val="22"/>
        </w:rPr>
        <w:t>s Reliability Test in Light of Eyewitness Science: 30 Years Later</w:t>
      </w:r>
      <w:r w:rsidRPr="00AD18AA">
        <w:rPr>
          <w:rFonts w:ascii="Garamond" w:hAnsi="Garamond"/>
          <w:sz w:val="22"/>
          <w:szCs w:val="22"/>
        </w:rPr>
        <w:t xml:space="preserve"> (2009) 33 Law &amp; Hum. Behav. 1, 9-10; see also Meissner et al., </w:t>
      </w:r>
      <w:r w:rsidRPr="00AD18AA">
        <w:rPr>
          <w:rFonts w:ascii="Garamond" w:hAnsi="Garamond"/>
          <w:i/>
          <w:sz w:val="22"/>
          <w:szCs w:val="22"/>
        </w:rPr>
        <w:t>Person Descriptions as Eyewitness Evidence</w:t>
      </w:r>
      <w:r w:rsidRPr="00AD18AA">
        <w:rPr>
          <w:rFonts w:ascii="Garamond" w:hAnsi="Garamond"/>
          <w:sz w:val="22"/>
          <w:szCs w:val="22"/>
        </w:rPr>
        <w:t xml:space="preserve"> (2007) 2 The Handbook of Eyewitness Psychology 1, 3.</w:t>
      </w:r>
    </w:p>
  </w:footnote>
  <w:footnote w:id="18">
    <w:p w14:paraId="37D82481" w14:textId="77777777" w:rsidR="00D37CE8" w:rsidRPr="00AD18AA" w:rsidRDefault="00D37CE8">
      <w:pPr>
        <w:pStyle w:val="FootnoteText"/>
        <w:rPr>
          <w:rFonts w:ascii="Garamond" w:hAnsi="Garamond"/>
          <w:sz w:val="22"/>
          <w:szCs w:val="22"/>
        </w:rPr>
      </w:pPr>
      <w:r w:rsidRPr="00AD18AA">
        <w:rPr>
          <w:rStyle w:val="FootnoteReference"/>
          <w:rFonts w:ascii="Garamond" w:hAnsi="Garamond"/>
          <w:sz w:val="22"/>
          <w:szCs w:val="22"/>
        </w:rPr>
        <w:footnoteRef/>
      </w:r>
      <w:r w:rsidRPr="00AD18AA">
        <w:rPr>
          <w:rFonts w:ascii="Garamond" w:hAnsi="Garamond"/>
          <w:sz w:val="22"/>
          <w:szCs w:val="22"/>
        </w:rPr>
        <w:t xml:space="preserve"> See Steblay, </w:t>
      </w:r>
      <w:r w:rsidRPr="00AD18AA">
        <w:rPr>
          <w:rFonts w:ascii="Garamond" w:hAnsi="Garamond"/>
          <w:i/>
          <w:sz w:val="22"/>
          <w:szCs w:val="22"/>
        </w:rPr>
        <w:t>A Meta-Analytic Review of the Weapon Focus Effect</w:t>
      </w:r>
      <w:r w:rsidRPr="00AD18AA">
        <w:rPr>
          <w:rFonts w:ascii="Garamond" w:hAnsi="Garamond"/>
          <w:sz w:val="22"/>
          <w:szCs w:val="22"/>
        </w:rPr>
        <w:t xml:space="preserve"> (1992) 16 Law &amp; Hum. Behav. 413, 420; O</w:t>
      </w:r>
      <w:r w:rsidR="00740BC4" w:rsidRPr="00AD18AA">
        <w:rPr>
          <w:rFonts w:ascii="Garamond" w:hAnsi="Garamond"/>
          <w:sz w:val="22"/>
          <w:szCs w:val="22"/>
        </w:rPr>
        <w:t>’</w:t>
      </w:r>
      <w:r w:rsidRPr="00AD18AA">
        <w:rPr>
          <w:rFonts w:ascii="Garamond" w:hAnsi="Garamond"/>
          <w:sz w:val="22"/>
          <w:szCs w:val="22"/>
        </w:rPr>
        <w:t xml:space="preserve">Rourke et al., </w:t>
      </w:r>
      <w:r w:rsidRPr="00AD18AA">
        <w:rPr>
          <w:rFonts w:ascii="Garamond" w:hAnsi="Garamond"/>
          <w:i/>
          <w:sz w:val="22"/>
          <w:szCs w:val="22"/>
        </w:rPr>
        <w:t>The External Validity of Eyewitness Identification Research: Generalizing Across Subject Populations</w:t>
      </w:r>
      <w:r w:rsidRPr="00AD18AA">
        <w:rPr>
          <w:rFonts w:ascii="Garamond" w:hAnsi="Garamond"/>
          <w:sz w:val="22"/>
          <w:szCs w:val="22"/>
        </w:rPr>
        <w:t xml:space="preserve"> (1989) 13 Law &amp; Hum. Behav. 385, 392.</w:t>
      </w:r>
    </w:p>
  </w:footnote>
  <w:footnote w:id="19">
    <w:p w14:paraId="79FD38CF" w14:textId="77777777" w:rsidR="00D37CE8" w:rsidRPr="00AD18AA" w:rsidRDefault="00D37CE8">
      <w:pPr>
        <w:pStyle w:val="FootnoteText"/>
        <w:rPr>
          <w:rFonts w:ascii="Garamond" w:hAnsi="Garamond"/>
          <w:sz w:val="22"/>
          <w:szCs w:val="22"/>
        </w:rPr>
      </w:pPr>
      <w:r w:rsidRPr="00AD18AA">
        <w:rPr>
          <w:rStyle w:val="FootnoteReference"/>
          <w:rFonts w:ascii="Garamond" w:hAnsi="Garamond"/>
          <w:sz w:val="22"/>
          <w:szCs w:val="22"/>
        </w:rPr>
        <w:footnoteRef/>
      </w:r>
      <w:r w:rsidRPr="00AD18AA">
        <w:rPr>
          <w:rFonts w:ascii="Garamond" w:hAnsi="Garamond"/>
          <w:sz w:val="22"/>
          <w:szCs w:val="22"/>
        </w:rPr>
        <w:t xml:space="preserve"> See Meissner &amp; Brigham, </w:t>
      </w:r>
      <w:r w:rsidRPr="00AD18AA">
        <w:rPr>
          <w:rFonts w:ascii="Garamond" w:hAnsi="Garamond"/>
          <w:i/>
          <w:sz w:val="22"/>
          <w:szCs w:val="22"/>
        </w:rPr>
        <w:t>Thirty Years of Investigating the Own-Race Bias in Memory for Faces</w:t>
      </w:r>
      <w:r w:rsidRPr="00AD18AA">
        <w:rPr>
          <w:rFonts w:ascii="Garamond" w:hAnsi="Garamond"/>
          <w:sz w:val="22"/>
          <w:szCs w:val="22"/>
        </w:rPr>
        <w:t xml:space="preserve"> (2001) 7 Psychol., Pub. Pol</w:t>
      </w:r>
      <w:r w:rsidR="00740BC4" w:rsidRPr="00AD18AA">
        <w:rPr>
          <w:rFonts w:ascii="Garamond" w:hAnsi="Garamond"/>
          <w:sz w:val="22"/>
          <w:szCs w:val="22"/>
        </w:rPr>
        <w:t>’</w:t>
      </w:r>
      <w:r w:rsidRPr="00AD18AA">
        <w:rPr>
          <w:rFonts w:ascii="Garamond" w:hAnsi="Garamond"/>
          <w:sz w:val="22"/>
          <w:szCs w:val="22"/>
        </w:rPr>
        <w:t>y &amp; L. 3, 15, 21.</w:t>
      </w:r>
    </w:p>
  </w:footnote>
  <w:footnote w:id="20">
    <w:p w14:paraId="02795623" w14:textId="77777777" w:rsidR="00661DB3" w:rsidRPr="00AD18AA" w:rsidRDefault="00661DB3">
      <w:pPr>
        <w:pStyle w:val="FootnoteText"/>
        <w:rPr>
          <w:rFonts w:ascii="Garamond" w:hAnsi="Garamond"/>
          <w:sz w:val="22"/>
          <w:szCs w:val="22"/>
        </w:rPr>
      </w:pPr>
      <w:r w:rsidRPr="00AD18AA">
        <w:rPr>
          <w:rStyle w:val="FootnoteReference"/>
          <w:rFonts w:ascii="Garamond" w:hAnsi="Garamond"/>
          <w:sz w:val="22"/>
          <w:szCs w:val="22"/>
        </w:rPr>
        <w:footnoteRef/>
      </w:r>
      <w:r w:rsidRPr="00AD18AA">
        <w:rPr>
          <w:rFonts w:ascii="Garamond" w:hAnsi="Garamond"/>
          <w:sz w:val="22"/>
          <w:szCs w:val="22"/>
        </w:rPr>
        <w:t xml:space="preserve"> The use of visual aids in appellate briefing is a fascinating topic. Courts occasionally use them. (See, e.g., </w:t>
      </w:r>
      <w:r w:rsidRPr="00AD18AA">
        <w:rPr>
          <w:rFonts w:ascii="Garamond" w:hAnsi="Garamond"/>
          <w:i/>
          <w:sz w:val="22"/>
          <w:szCs w:val="22"/>
        </w:rPr>
        <w:t xml:space="preserve">People v. Dominguez </w:t>
      </w:r>
      <w:r w:rsidRPr="00AD18AA">
        <w:rPr>
          <w:rFonts w:ascii="Garamond" w:hAnsi="Garamond"/>
          <w:sz w:val="22"/>
          <w:szCs w:val="22"/>
        </w:rPr>
        <w:t xml:space="preserve">(2021) 66 Cal.App.5th 163, 171-172; </w:t>
      </w:r>
      <w:r w:rsidRPr="00AD18AA">
        <w:rPr>
          <w:rFonts w:ascii="Garamond" w:hAnsi="Garamond"/>
          <w:i/>
          <w:sz w:val="22"/>
          <w:szCs w:val="22"/>
        </w:rPr>
        <w:t>Grayson v. Schuler</w:t>
      </w:r>
      <w:r w:rsidRPr="00AD18AA">
        <w:rPr>
          <w:rFonts w:ascii="Garamond" w:hAnsi="Garamond"/>
          <w:sz w:val="22"/>
          <w:szCs w:val="22"/>
        </w:rPr>
        <w:t xml:space="preserve"> (7th Cir. 2012) 666 F.3d 450, 452.) Attorneys often</w:t>
      </w:r>
      <w:r w:rsidR="007B7E39" w:rsidRPr="00AD18AA">
        <w:rPr>
          <w:rFonts w:ascii="Garamond" w:hAnsi="Garamond"/>
          <w:sz w:val="22"/>
          <w:szCs w:val="22"/>
        </w:rPr>
        <w:t xml:space="preserve"> advocate their use. (See, e.g., </w:t>
      </w:r>
      <w:r w:rsidRPr="00AD18AA">
        <w:rPr>
          <w:rFonts w:ascii="Garamond" w:hAnsi="Garamond"/>
          <w:sz w:val="22"/>
          <w:szCs w:val="22"/>
        </w:rPr>
        <w:t xml:space="preserve">Dubose, </w:t>
      </w:r>
      <w:r w:rsidRPr="00AD18AA">
        <w:rPr>
          <w:rFonts w:ascii="Garamond" w:hAnsi="Garamond"/>
          <w:i/>
          <w:sz w:val="22"/>
          <w:szCs w:val="22"/>
        </w:rPr>
        <w:t xml:space="preserve">More Than Words Can Say: Using Visuals in Appellate Briefs </w:t>
      </w:r>
      <w:r w:rsidRPr="00AD18AA">
        <w:rPr>
          <w:rFonts w:ascii="Garamond" w:hAnsi="Garamond"/>
          <w:sz w:val="22"/>
          <w:szCs w:val="22"/>
        </w:rPr>
        <w:t xml:space="preserve">(2015) 53 Houston Lawyer 26.) And there was recently a great discussion of the topic on the CADC message board. </w:t>
      </w:r>
      <w:r w:rsidR="00DD1299" w:rsidRPr="00AD18AA">
        <w:rPr>
          <w:rFonts w:ascii="Garamond" w:hAnsi="Garamond"/>
          <w:sz w:val="22"/>
          <w:szCs w:val="22"/>
        </w:rPr>
        <w:t>There</w:t>
      </w:r>
      <w:r w:rsidRPr="00AD18AA">
        <w:rPr>
          <w:rFonts w:ascii="Garamond" w:hAnsi="Garamond"/>
          <w:sz w:val="22"/>
          <w:szCs w:val="22"/>
        </w:rPr>
        <w:t xml:space="preserve"> are a lot of reasons to use visuals, and some potential traps for the unwary (for instance, with the Julia Roberts example, you have to make sure the image size is correct so you don’t misrepresent the point). But </w:t>
      </w:r>
      <w:r w:rsidR="007B7E39" w:rsidRPr="00AD18AA">
        <w:rPr>
          <w:rFonts w:ascii="Garamond" w:hAnsi="Garamond"/>
          <w:sz w:val="22"/>
          <w:szCs w:val="22"/>
        </w:rPr>
        <w:t xml:space="preserve">unfortunately, </w:t>
      </w:r>
      <w:r w:rsidRPr="00AD18AA">
        <w:rPr>
          <w:rFonts w:ascii="Garamond" w:hAnsi="Garamond"/>
          <w:sz w:val="22"/>
          <w:szCs w:val="22"/>
        </w:rPr>
        <w:t xml:space="preserve">all that is a bit outside the scope of this article. </w:t>
      </w:r>
    </w:p>
  </w:footnote>
  <w:footnote w:id="21">
    <w:p w14:paraId="03EA36CA" w14:textId="77777777" w:rsidR="00D90E62" w:rsidRPr="00AD18AA" w:rsidRDefault="00D90E62">
      <w:pPr>
        <w:pStyle w:val="FootnoteText"/>
        <w:rPr>
          <w:rFonts w:ascii="Garamond" w:hAnsi="Garamond"/>
          <w:sz w:val="22"/>
          <w:szCs w:val="22"/>
        </w:rPr>
      </w:pPr>
      <w:r w:rsidRPr="00AD18AA">
        <w:rPr>
          <w:rStyle w:val="FootnoteReference"/>
          <w:rFonts w:ascii="Garamond" w:hAnsi="Garamond"/>
          <w:sz w:val="22"/>
          <w:szCs w:val="22"/>
        </w:rPr>
        <w:footnoteRef/>
      </w:r>
      <w:r w:rsidRPr="00AD18AA">
        <w:rPr>
          <w:rFonts w:ascii="Garamond" w:hAnsi="Garamond"/>
          <w:sz w:val="22"/>
          <w:szCs w:val="22"/>
        </w:rPr>
        <w:t xml:space="preserve"> See, e.g., </w:t>
      </w:r>
      <w:r w:rsidRPr="00AD18AA">
        <w:rPr>
          <w:rFonts w:ascii="Garamond" w:hAnsi="Garamond"/>
          <w:i/>
          <w:sz w:val="22"/>
          <w:szCs w:val="22"/>
        </w:rPr>
        <w:t>State v. Dickson</w:t>
      </w:r>
      <w:r w:rsidRPr="00AD18AA">
        <w:rPr>
          <w:rFonts w:ascii="Garamond" w:hAnsi="Garamond"/>
          <w:sz w:val="22"/>
          <w:szCs w:val="22"/>
        </w:rPr>
        <w:t xml:space="preserve"> (Conn. 2016) 141 A.3d 810, 822 (holding that courts must examine an identification</w:t>
      </w:r>
      <w:r w:rsidR="00740BC4" w:rsidRPr="00AD18AA">
        <w:rPr>
          <w:rFonts w:ascii="Garamond" w:hAnsi="Garamond"/>
          <w:sz w:val="22"/>
          <w:szCs w:val="22"/>
        </w:rPr>
        <w:t>’</w:t>
      </w:r>
      <w:r w:rsidRPr="00AD18AA">
        <w:rPr>
          <w:rFonts w:ascii="Garamond" w:hAnsi="Garamond"/>
          <w:sz w:val="22"/>
          <w:szCs w:val="22"/>
        </w:rPr>
        <w:t xml:space="preserve">s accuracy before allowing a witness who has not previously identified the defendant to make an identification in court); </w:t>
      </w:r>
      <w:r w:rsidRPr="00AD18AA">
        <w:rPr>
          <w:rFonts w:ascii="Garamond" w:hAnsi="Garamond"/>
          <w:i/>
          <w:sz w:val="22"/>
          <w:szCs w:val="22"/>
        </w:rPr>
        <w:t>Commonwealth v. Crayton</w:t>
      </w:r>
      <w:r w:rsidRPr="00AD18AA">
        <w:rPr>
          <w:rFonts w:ascii="Garamond" w:hAnsi="Garamond"/>
          <w:sz w:val="22"/>
          <w:szCs w:val="22"/>
        </w:rPr>
        <w:t xml:space="preserve"> (Mass. 2014) 21 N.E.3d 157 (holding that a first-time in-court identification is an </w:t>
      </w:r>
      <w:r w:rsidR="00740BC4" w:rsidRPr="00AD18AA">
        <w:rPr>
          <w:rFonts w:ascii="Garamond" w:hAnsi="Garamond"/>
          <w:sz w:val="22"/>
          <w:szCs w:val="22"/>
        </w:rPr>
        <w:t>“</w:t>
      </w:r>
      <w:r w:rsidRPr="00AD18AA">
        <w:rPr>
          <w:rFonts w:ascii="Garamond" w:hAnsi="Garamond"/>
          <w:sz w:val="22"/>
          <w:szCs w:val="22"/>
        </w:rPr>
        <w:t>in-court showup</w:t>
      </w:r>
      <w:r w:rsidR="00740BC4" w:rsidRPr="00AD18AA">
        <w:rPr>
          <w:rFonts w:ascii="Garamond" w:hAnsi="Garamond"/>
          <w:sz w:val="22"/>
          <w:szCs w:val="22"/>
        </w:rPr>
        <w:t>”</w:t>
      </w:r>
      <w:r w:rsidRPr="00AD18AA">
        <w:rPr>
          <w:rFonts w:ascii="Garamond" w:hAnsi="Garamond"/>
          <w:sz w:val="22"/>
          <w:szCs w:val="22"/>
        </w:rPr>
        <w:t xml:space="preserve"> and may only be admitted with </w:t>
      </w:r>
      <w:r w:rsidR="00740BC4" w:rsidRPr="00AD18AA">
        <w:rPr>
          <w:rFonts w:ascii="Garamond" w:hAnsi="Garamond"/>
          <w:sz w:val="22"/>
          <w:szCs w:val="22"/>
        </w:rPr>
        <w:t>“</w:t>
      </w:r>
      <w:r w:rsidRPr="00AD18AA">
        <w:rPr>
          <w:rFonts w:ascii="Garamond" w:hAnsi="Garamond"/>
          <w:sz w:val="22"/>
          <w:szCs w:val="22"/>
        </w:rPr>
        <w:t>good reason</w:t>
      </w:r>
      <w:r w:rsidR="00740BC4" w:rsidRPr="00AD18AA">
        <w:rPr>
          <w:rFonts w:ascii="Garamond" w:hAnsi="Garamond"/>
          <w:sz w:val="22"/>
          <w:szCs w:val="22"/>
        </w:rPr>
        <w:t>”</w:t>
      </w:r>
      <w:r w:rsidRPr="00AD18AA">
        <w:rPr>
          <w:rFonts w:ascii="Garamond" w:hAnsi="Garamond"/>
          <w:sz w:val="22"/>
          <w:szCs w:val="22"/>
        </w:rPr>
        <w:t xml:space="preserve">); </w:t>
      </w:r>
      <w:r w:rsidRPr="00AD18AA">
        <w:rPr>
          <w:rFonts w:ascii="Garamond" w:hAnsi="Garamond"/>
          <w:i/>
          <w:sz w:val="22"/>
          <w:szCs w:val="22"/>
        </w:rPr>
        <w:t>City of Billings v. Nolan</w:t>
      </w:r>
      <w:r w:rsidRPr="00AD18AA">
        <w:rPr>
          <w:rFonts w:ascii="Garamond" w:hAnsi="Garamond"/>
          <w:sz w:val="22"/>
          <w:szCs w:val="22"/>
        </w:rPr>
        <w:t xml:space="preserve"> (Mont. 2016) 383 P.3d 219 (holding a first-time in-court identification of a defendant was impermissibly suggestive).</w:t>
      </w:r>
    </w:p>
  </w:footnote>
  <w:footnote w:id="22">
    <w:p w14:paraId="4B448E18" w14:textId="77777777" w:rsidR="00740BC4" w:rsidRPr="00AD18AA" w:rsidRDefault="00740BC4">
      <w:pPr>
        <w:pStyle w:val="FootnoteText"/>
        <w:rPr>
          <w:rFonts w:ascii="Garamond" w:hAnsi="Garamond"/>
          <w:sz w:val="22"/>
          <w:szCs w:val="22"/>
        </w:rPr>
      </w:pPr>
      <w:r w:rsidRPr="00AD18AA">
        <w:rPr>
          <w:rStyle w:val="FootnoteReference"/>
          <w:rFonts w:ascii="Garamond" w:hAnsi="Garamond"/>
          <w:sz w:val="22"/>
          <w:szCs w:val="22"/>
        </w:rPr>
        <w:footnoteRef/>
      </w:r>
      <w:r w:rsidRPr="00AD18AA">
        <w:rPr>
          <w:rFonts w:ascii="Garamond" w:hAnsi="Garamond"/>
          <w:sz w:val="22"/>
          <w:szCs w:val="22"/>
        </w:rPr>
        <w:t xml:space="preserve"> Transcript at oral argument, </w:t>
      </w:r>
      <w:r w:rsidRPr="00AD18AA">
        <w:rPr>
          <w:rFonts w:ascii="Garamond" w:hAnsi="Garamond"/>
          <w:i/>
          <w:sz w:val="22"/>
          <w:szCs w:val="22"/>
        </w:rPr>
        <w:t>Rodriguez v. United States</w:t>
      </w:r>
      <w:r w:rsidRPr="00AD18AA">
        <w:rPr>
          <w:rFonts w:ascii="Garamond" w:hAnsi="Garamond"/>
          <w:sz w:val="22"/>
          <w:szCs w:val="22"/>
        </w:rPr>
        <w:t xml:space="preserve"> (2015) 575 U.S. 348. </w:t>
      </w:r>
    </w:p>
  </w:footnote>
  <w:footnote w:id="23">
    <w:p w14:paraId="200C0DB9" w14:textId="77777777" w:rsidR="00740BC4" w:rsidRPr="00AD18AA" w:rsidRDefault="00740BC4">
      <w:pPr>
        <w:pStyle w:val="FootnoteText"/>
        <w:rPr>
          <w:rFonts w:ascii="Garamond" w:hAnsi="Garamond"/>
          <w:sz w:val="22"/>
          <w:szCs w:val="22"/>
        </w:rPr>
      </w:pPr>
      <w:r w:rsidRPr="00AD18AA">
        <w:rPr>
          <w:rStyle w:val="FootnoteReference"/>
          <w:rFonts w:ascii="Garamond" w:hAnsi="Garamond"/>
          <w:sz w:val="22"/>
          <w:szCs w:val="22"/>
        </w:rPr>
        <w:footnoteRef/>
      </w:r>
      <w:r w:rsidRPr="00AD18AA">
        <w:rPr>
          <w:rFonts w:ascii="Garamond" w:hAnsi="Garamond"/>
          <w:sz w:val="22"/>
          <w:szCs w:val="22"/>
        </w:rPr>
        <w:t xml:space="preserve"> </w:t>
      </w:r>
      <w:r w:rsidRPr="00AD18AA">
        <w:rPr>
          <w:rFonts w:ascii="Garamond" w:hAnsi="Garamond"/>
          <w:i/>
          <w:sz w:val="22"/>
          <w:szCs w:val="22"/>
        </w:rPr>
        <w:t>Ibid</w:t>
      </w:r>
      <w:r w:rsidRPr="00AD18AA">
        <w:rPr>
          <w:rFonts w:ascii="Garamond" w:hAnsi="Garamond"/>
          <w:sz w:val="22"/>
          <w:szCs w:val="22"/>
        </w:rPr>
        <w:t>.</w:t>
      </w:r>
    </w:p>
  </w:footnote>
  <w:footnote w:id="24">
    <w:p w14:paraId="097722B0" w14:textId="77777777" w:rsidR="00740BC4" w:rsidRPr="00AD18AA" w:rsidRDefault="00740BC4">
      <w:pPr>
        <w:pStyle w:val="FootnoteText"/>
        <w:rPr>
          <w:rFonts w:ascii="Garamond" w:hAnsi="Garamond"/>
          <w:sz w:val="22"/>
          <w:szCs w:val="22"/>
        </w:rPr>
      </w:pPr>
      <w:r w:rsidRPr="00AD18AA">
        <w:rPr>
          <w:rStyle w:val="FootnoteReference"/>
          <w:rFonts w:ascii="Garamond" w:hAnsi="Garamond"/>
          <w:sz w:val="22"/>
          <w:szCs w:val="22"/>
        </w:rPr>
        <w:footnoteRef/>
      </w:r>
      <w:r w:rsidRPr="00AD18AA">
        <w:rPr>
          <w:rFonts w:ascii="Garamond" w:hAnsi="Garamond"/>
          <w:sz w:val="22"/>
          <w:szCs w:val="22"/>
        </w:rPr>
        <w:t xml:space="preserve"> Transcript of oral argument, </w:t>
      </w:r>
      <w:r w:rsidRPr="00AD18AA">
        <w:rPr>
          <w:rFonts w:ascii="Garamond" w:hAnsi="Garamond"/>
          <w:i/>
          <w:sz w:val="22"/>
          <w:szCs w:val="22"/>
        </w:rPr>
        <w:t>Brendlin</w:t>
      </w:r>
      <w:r w:rsidRPr="00AD18AA">
        <w:rPr>
          <w:rFonts w:ascii="Garamond" w:hAnsi="Garamond"/>
          <w:sz w:val="22"/>
          <w:szCs w:val="22"/>
        </w:rPr>
        <w:t xml:space="preserve">, </w:t>
      </w:r>
      <w:r w:rsidRPr="00AD18AA">
        <w:rPr>
          <w:rFonts w:ascii="Garamond" w:hAnsi="Garamond"/>
          <w:i/>
          <w:sz w:val="22"/>
          <w:szCs w:val="22"/>
        </w:rPr>
        <w:t>supra</w:t>
      </w:r>
      <w:r w:rsidRPr="00AD18AA">
        <w:rPr>
          <w:rFonts w:ascii="Garamond" w:hAnsi="Garamond"/>
          <w:sz w:val="22"/>
          <w:szCs w:val="22"/>
        </w:rPr>
        <w:t>, 551 U.S. 249.</w:t>
      </w:r>
    </w:p>
  </w:footnote>
  <w:footnote w:id="25">
    <w:p w14:paraId="3A7A816B" w14:textId="77777777" w:rsidR="00740BC4" w:rsidRPr="00AD18AA" w:rsidRDefault="00740BC4">
      <w:pPr>
        <w:pStyle w:val="FootnoteText"/>
        <w:rPr>
          <w:rFonts w:ascii="Garamond" w:hAnsi="Garamond"/>
          <w:sz w:val="22"/>
          <w:szCs w:val="22"/>
        </w:rPr>
      </w:pPr>
      <w:r w:rsidRPr="00AD18AA">
        <w:rPr>
          <w:rStyle w:val="FootnoteReference"/>
          <w:rFonts w:ascii="Garamond" w:hAnsi="Garamond"/>
          <w:sz w:val="22"/>
          <w:szCs w:val="22"/>
        </w:rPr>
        <w:footnoteRef/>
      </w:r>
      <w:r w:rsidRPr="00AD18AA">
        <w:rPr>
          <w:rFonts w:ascii="Garamond" w:hAnsi="Garamond"/>
          <w:sz w:val="22"/>
          <w:szCs w:val="22"/>
        </w:rPr>
        <w:t xml:space="preserve"> Sommers &amp; Bohn</w:t>
      </w:r>
      <w:r w:rsidR="00CD7442" w:rsidRPr="00AD18AA">
        <w:rPr>
          <w:rFonts w:ascii="Garamond" w:hAnsi="Garamond"/>
          <w:sz w:val="22"/>
          <w:szCs w:val="22"/>
        </w:rPr>
        <w:t>,</w:t>
      </w:r>
      <w:r w:rsidRPr="00AD18AA">
        <w:rPr>
          <w:rFonts w:ascii="Garamond" w:hAnsi="Garamond"/>
          <w:sz w:val="22"/>
          <w:szCs w:val="22"/>
        </w:rPr>
        <w:t xml:space="preserve"> </w:t>
      </w:r>
      <w:r w:rsidRPr="00AD18AA">
        <w:rPr>
          <w:rFonts w:ascii="Garamond" w:hAnsi="Garamond"/>
          <w:i/>
          <w:sz w:val="22"/>
          <w:szCs w:val="22"/>
        </w:rPr>
        <w:t>The Voluntariness of Voluntary Consent: Consent Searches and the Psychology of Compliance</w:t>
      </w:r>
      <w:r w:rsidR="00CD7442" w:rsidRPr="00AD18AA">
        <w:rPr>
          <w:rFonts w:ascii="Garamond" w:hAnsi="Garamond"/>
          <w:sz w:val="22"/>
          <w:szCs w:val="22"/>
        </w:rPr>
        <w:t xml:space="preserve"> (2019) 1</w:t>
      </w:r>
      <w:r w:rsidRPr="00AD18AA">
        <w:rPr>
          <w:rFonts w:ascii="Garamond" w:hAnsi="Garamond"/>
          <w:sz w:val="22"/>
          <w:szCs w:val="22"/>
        </w:rPr>
        <w:t>28 Yale L.J. 1962.</w:t>
      </w:r>
    </w:p>
  </w:footnote>
  <w:footnote w:id="26">
    <w:p w14:paraId="08C3CAA7" w14:textId="77777777" w:rsidR="00CD7442" w:rsidRPr="00AD18AA" w:rsidRDefault="00CD7442">
      <w:pPr>
        <w:pStyle w:val="FootnoteText"/>
        <w:rPr>
          <w:rFonts w:ascii="Garamond" w:hAnsi="Garamond"/>
          <w:sz w:val="22"/>
          <w:szCs w:val="22"/>
        </w:rPr>
      </w:pPr>
      <w:r w:rsidRPr="00AD18AA">
        <w:rPr>
          <w:rStyle w:val="FootnoteReference"/>
          <w:rFonts w:ascii="Garamond" w:hAnsi="Garamond"/>
          <w:sz w:val="22"/>
          <w:szCs w:val="22"/>
        </w:rPr>
        <w:footnoteRef/>
      </w:r>
      <w:r w:rsidRPr="00AD18AA">
        <w:rPr>
          <w:rFonts w:ascii="Garamond" w:hAnsi="Garamond"/>
          <w:sz w:val="22"/>
          <w:szCs w:val="22"/>
        </w:rPr>
        <w:t xml:space="preserve"> </w:t>
      </w:r>
      <w:r w:rsidRPr="00AD18AA">
        <w:rPr>
          <w:rFonts w:ascii="Garamond" w:hAnsi="Garamond"/>
          <w:i/>
          <w:sz w:val="22"/>
          <w:szCs w:val="22"/>
        </w:rPr>
        <w:t>Id</w:t>
      </w:r>
      <w:r w:rsidRPr="00AD18AA">
        <w:rPr>
          <w:rFonts w:ascii="Garamond" w:hAnsi="Garamond"/>
          <w:sz w:val="22"/>
          <w:szCs w:val="22"/>
        </w:rPr>
        <w:t>. at p. 1987.</w:t>
      </w:r>
    </w:p>
  </w:footnote>
  <w:footnote w:id="27">
    <w:p w14:paraId="5A4227E8" w14:textId="77777777" w:rsidR="00AC0011" w:rsidRPr="00AD18AA" w:rsidRDefault="00AC0011">
      <w:pPr>
        <w:pStyle w:val="FootnoteText"/>
        <w:rPr>
          <w:rFonts w:ascii="Garamond" w:hAnsi="Garamond"/>
          <w:sz w:val="22"/>
          <w:szCs w:val="22"/>
        </w:rPr>
      </w:pPr>
      <w:r w:rsidRPr="00AD18AA">
        <w:rPr>
          <w:rStyle w:val="FootnoteReference"/>
          <w:rFonts w:ascii="Garamond" w:hAnsi="Garamond"/>
          <w:sz w:val="22"/>
          <w:szCs w:val="22"/>
        </w:rPr>
        <w:footnoteRef/>
      </w:r>
      <w:r w:rsidRPr="00AD18AA">
        <w:rPr>
          <w:rFonts w:ascii="Garamond" w:hAnsi="Garamond"/>
          <w:sz w:val="22"/>
          <w:szCs w:val="22"/>
        </w:rPr>
        <w:t xml:space="preserve"> </w:t>
      </w:r>
      <w:r w:rsidR="00CD7442" w:rsidRPr="00AD18AA">
        <w:rPr>
          <w:rFonts w:ascii="Garamond" w:hAnsi="Garamond"/>
          <w:i/>
          <w:sz w:val="22"/>
          <w:szCs w:val="22"/>
        </w:rPr>
        <w:t>Ibid</w:t>
      </w:r>
      <w:r w:rsidR="00CD7442" w:rsidRPr="00AD18AA">
        <w:rPr>
          <w:rFonts w:ascii="Garamond" w:hAnsi="Garamond"/>
          <w:sz w:val="22"/>
          <w:szCs w:val="22"/>
        </w:rPr>
        <w:t xml:space="preserve">. </w:t>
      </w:r>
      <w:r w:rsidRPr="00AD18AA">
        <w:rPr>
          <w:rFonts w:ascii="Garamond" w:hAnsi="Garamond"/>
          <w:sz w:val="22"/>
          <w:szCs w:val="22"/>
        </w:rPr>
        <w:t xml:space="preserve">Compliance predictions were done on a one through seven scale (one being total non-compliance, seven being total compliance, and the numbers in between being gradations of willingness). So the results were statistically a little more complicated than just saying, </w:t>
      </w:r>
      <w:r w:rsidR="00740BC4" w:rsidRPr="00AD18AA">
        <w:rPr>
          <w:rFonts w:ascii="Garamond" w:hAnsi="Garamond"/>
          <w:sz w:val="22"/>
          <w:szCs w:val="22"/>
        </w:rPr>
        <w:t>“</w:t>
      </w:r>
      <w:r w:rsidRPr="00AD18AA">
        <w:rPr>
          <w:rFonts w:ascii="Garamond" w:hAnsi="Garamond"/>
          <w:sz w:val="22"/>
          <w:szCs w:val="22"/>
        </w:rPr>
        <w:t>How many people out of this group will comply.</w:t>
      </w:r>
      <w:r w:rsidR="00740BC4" w:rsidRPr="00AD18AA">
        <w:rPr>
          <w:rFonts w:ascii="Garamond" w:hAnsi="Garamond"/>
          <w:sz w:val="22"/>
          <w:szCs w:val="22"/>
        </w:rPr>
        <w:t>”</w:t>
      </w:r>
      <w:r w:rsidRPr="00AD18AA">
        <w:rPr>
          <w:rFonts w:ascii="Garamond" w:hAnsi="Garamond"/>
          <w:sz w:val="22"/>
          <w:szCs w:val="22"/>
        </w:rPr>
        <w:t xml:space="preserve"> </w:t>
      </w:r>
    </w:p>
  </w:footnote>
  <w:footnote w:id="28">
    <w:p w14:paraId="3701D4CF" w14:textId="77777777" w:rsidR="00CD7442" w:rsidRPr="00AD18AA" w:rsidRDefault="00CD7442">
      <w:pPr>
        <w:pStyle w:val="FootnoteText"/>
        <w:rPr>
          <w:rFonts w:ascii="Garamond" w:hAnsi="Garamond"/>
          <w:sz w:val="22"/>
          <w:szCs w:val="22"/>
        </w:rPr>
      </w:pPr>
      <w:r w:rsidRPr="00AD18AA">
        <w:rPr>
          <w:rStyle w:val="FootnoteReference"/>
          <w:rFonts w:ascii="Garamond" w:hAnsi="Garamond"/>
          <w:sz w:val="22"/>
          <w:szCs w:val="22"/>
        </w:rPr>
        <w:footnoteRef/>
      </w:r>
      <w:r w:rsidRPr="00AD18AA">
        <w:rPr>
          <w:rFonts w:ascii="Garamond" w:hAnsi="Garamond"/>
          <w:sz w:val="22"/>
          <w:szCs w:val="22"/>
        </w:rPr>
        <w:t xml:space="preserve"> </w:t>
      </w:r>
      <w:r w:rsidRPr="00AD18AA">
        <w:rPr>
          <w:rFonts w:ascii="Garamond" w:hAnsi="Garamond"/>
          <w:i/>
          <w:sz w:val="22"/>
          <w:szCs w:val="22"/>
        </w:rPr>
        <w:t>Id</w:t>
      </w:r>
      <w:r w:rsidRPr="00AD18AA">
        <w:rPr>
          <w:rFonts w:ascii="Garamond" w:hAnsi="Garamond"/>
          <w:sz w:val="22"/>
          <w:szCs w:val="22"/>
        </w:rPr>
        <w:t>. at p. 1988.</w:t>
      </w:r>
    </w:p>
  </w:footnote>
  <w:footnote w:id="29">
    <w:p w14:paraId="5C4DE7C2" w14:textId="77777777" w:rsidR="008961D0" w:rsidRPr="00AD18AA" w:rsidRDefault="008961D0">
      <w:pPr>
        <w:pStyle w:val="FootnoteText"/>
        <w:rPr>
          <w:rFonts w:ascii="Garamond" w:hAnsi="Garamond"/>
          <w:sz w:val="22"/>
          <w:szCs w:val="22"/>
        </w:rPr>
      </w:pPr>
      <w:r w:rsidRPr="00AD18AA">
        <w:rPr>
          <w:rStyle w:val="FootnoteReference"/>
          <w:rFonts w:ascii="Garamond" w:hAnsi="Garamond"/>
          <w:sz w:val="22"/>
          <w:szCs w:val="22"/>
        </w:rPr>
        <w:footnoteRef/>
      </w:r>
      <w:r w:rsidR="00CD7442" w:rsidRPr="00AD18AA">
        <w:rPr>
          <w:rFonts w:ascii="Garamond" w:hAnsi="Garamond"/>
          <w:sz w:val="22"/>
          <w:szCs w:val="22"/>
        </w:rPr>
        <w:t xml:space="preserve"> </w:t>
      </w:r>
      <w:r w:rsidRPr="00AD18AA">
        <w:rPr>
          <w:rFonts w:ascii="Garamond" w:hAnsi="Garamond"/>
          <w:sz w:val="22"/>
          <w:szCs w:val="22"/>
        </w:rPr>
        <w:t xml:space="preserve">See Note, </w:t>
      </w:r>
      <w:r w:rsidRPr="00AD18AA">
        <w:rPr>
          <w:rFonts w:ascii="Garamond" w:hAnsi="Garamond"/>
          <w:i/>
          <w:sz w:val="22"/>
          <w:szCs w:val="22"/>
        </w:rPr>
        <w:t>Casual or Coercive? Retention of Identification in Police-Citizen Encounters</w:t>
      </w:r>
      <w:r w:rsidRPr="00AD18AA">
        <w:rPr>
          <w:rFonts w:ascii="Garamond" w:hAnsi="Garamond"/>
          <w:sz w:val="22"/>
          <w:szCs w:val="22"/>
        </w:rPr>
        <w:t xml:space="preserve"> (2013) 113 Colum. L.Rev. 1283, 1313 [noting studies such as one in which half the respondents indicated that they</w:t>
      </w:r>
      <w:r w:rsidR="00CD7442" w:rsidRPr="00AD18AA">
        <w:rPr>
          <w:rFonts w:ascii="Garamond" w:hAnsi="Garamond"/>
          <w:sz w:val="22"/>
          <w:szCs w:val="22"/>
        </w:rPr>
        <w:t xml:space="preserve"> would feel either not free</w:t>
      </w:r>
      <w:r w:rsidRPr="00AD18AA">
        <w:rPr>
          <w:rFonts w:ascii="Garamond" w:hAnsi="Garamond"/>
          <w:sz w:val="22"/>
          <w:szCs w:val="22"/>
        </w:rPr>
        <w:t xml:space="preserve"> to leave or less than somewhat free to leave in a mere conversation with police on a sidewalk and concluding, </w:t>
      </w:r>
      <w:r w:rsidR="00740BC4" w:rsidRPr="00AD18AA">
        <w:rPr>
          <w:rFonts w:ascii="Garamond" w:hAnsi="Garamond"/>
          <w:sz w:val="22"/>
          <w:szCs w:val="22"/>
        </w:rPr>
        <w:t>“</w:t>
      </w:r>
      <w:r w:rsidRPr="00AD18AA">
        <w:rPr>
          <w:rFonts w:ascii="Garamond" w:hAnsi="Garamond"/>
          <w:sz w:val="22"/>
          <w:szCs w:val="22"/>
        </w:rPr>
        <w:t>[t]hus, it appears that any interaction with a police officer, even at the lowest level of intrusiveness, makes most citizens feel that they are not free to leave</w:t>
      </w:r>
      <w:r w:rsidR="00740BC4" w:rsidRPr="00AD18AA">
        <w:rPr>
          <w:rFonts w:ascii="Garamond" w:hAnsi="Garamond"/>
          <w:sz w:val="22"/>
          <w:szCs w:val="22"/>
        </w:rPr>
        <w:t>”</w:t>
      </w:r>
      <w:r w:rsidRPr="00AD18AA">
        <w:rPr>
          <w:rFonts w:ascii="Garamond" w:hAnsi="Garamond"/>
          <w:sz w:val="22"/>
          <w:szCs w:val="22"/>
        </w:rPr>
        <w:t xml:space="preserve">]; Smith et al., </w:t>
      </w:r>
      <w:r w:rsidRPr="00AD18AA">
        <w:rPr>
          <w:rFonts w:ascii="Garamond" w:hAnsi="Garamond"/>
          <w:i/>
          <w:sz w:val="22"/>
          <w:szCs w:val="22"/>
        </w:rPr>
        <w:t xml:space="preserve">Testing Judicial Assumptions of the </w:t>
      </w:r>
      <w:r w:rsidR="00740BC4" w:rsidRPr="00AD18AA">
        <w:rPr>
          <w:rFonts w:ascii="Garamond" w:hAnsi="Garamond"/>
          <w:i/>
          <w:sz w:val="22"/>
          <w:szCs w:val="22"/>
        </w:rPr>
        <w:t>“</w:t>
      </w:r>
      <w:r w:rsidRPr="00AD18AA">
        <w:rPr>
          <w:rFonts w:ascii="Garamond" w:hAnsi="Garamond"/>
          <w:i/>
          <w:sz w:val="22"/>
          <w:szCs w:val="22"/>
        </w:rPr>
        <w:t>Consensual</w:t>
      </w:r>
      <w:r w:rsidR="00740BC4" w:rsidRPr="00AD18AA">
        <w:rPr>
          <w:rFonts w:ascii="Garamond" w:hAnsi="Garamond"/>
          <w:i/>
          <w:sz w:val="22"/>
          <w:szCs w:val="22"/>
        </w:rPr>
        <w:t>”</w:t>
      </w:r>
      <w:r w:rsidRPr="00AD18AA">
        <w:rPr>
          <w:rFonts w:ascii="Garamond" w:hAnsi="Garamond"/>
          <w:i/>
          <w:sz w:val="22"/>
          <w:szCs w:val="22"/>
        </w:rPr>
        <w:t xml:space="preserve"> Encounter: An Experimental Study</w:t>
      </w:r>
      <w:r w:rsidRPr="00AD18AA">
        <w:rPr>
          <w:rFonts w:ascii="Garamond" w:hAnsi="Garamond"/>
          <w:sz w:val="22"/>
          <w:szCs w:val="22"/>
        </w:rPr>
        <w:t xml:space="preserve"> (2013) 14 Fla. Coastal L.Rev. 285, 319–320 [noting that while nearly three-quarters of the sample used in the study perceived the encounters with sworn, armed security as consensual, 45 percent also believed they had no right to walk away or ignore the security officers</w:t>
      </w:r>
      <w:r w:rsidR="00740BC4" w:rsidRPr="00AD18AA">
        <w:rPr>
          <w:rFonts w:ascii="Garamond" w:hAnsi="Garamond"/>
          <w:sz w:val="22"/>
          <w:szCs w:val="22"/>
        </w:rPr>
        <w:t>’</w:t>
      </w:r>
      <w:r w:rsidRPr="00AD18AA">
        <w:rPr>
          <w:rFonts w:ascii="Garamond" w:hAnsi="Garamond"/>
          <w:sz w:val="22"/>
          <w:szCs w:val="22"/>
        </w:rPr>
        <w:t xml:space="preserve"> requests]; see also Ross, </w:t>
      </w:r>
      <w:r w:rsidRPr="00AD18AA">
        <w:rPr>
          <w:rFonts w:ascii="Garamond" w:hAnsi="Garamond"/>
          <w:i/>
          <w:sz w:val="22"/>
          <w:szCs w:val="22"/>
        </w:rPr>
        <w:t>Can Social Science Defeat a Legal Fiction? Challenging Unlawful Stops Under the Fourth Amendment</w:t>
      </w:r>
      <w:r w:rsidRPr="00AD18AA">
        <w:rPr>
          <w:rFonts w:ascii="Garamond" w:hAnsi="Garamond"/>
          <w:sz w:val="22"/>
          <w:szCs w:val="22"/>
        </w:rPr>
        <w:t xml:space="preserve"> (2012) 18 Wash. &amp; Lee J. Civil Rts. &amp; Soc. Just. 315, 331–339 </w:t>
      </w:r>
      <w:r w:rsidR="007412B3" w:rsidRPr="00AD18AA">
        <w:rPr>
          <w:rFonts w:ascii="Garamond" w:hAnsi="Garamond"/>
          <w:sz w:val="22"/>
          <w:szCs w:val="22"/>
        </w:rPr>
        <w:t>[discussing empirical studies].</w:t>
      </w:r>
    </w:p>
  </w:footnote>
  <w:footnote w:id="30">
    <w:p w14:paraId="13B230B9" w14:textId="1497DE2D" w:rsidR="00C64CDF" w:rsidRPr="00AD18AA" w:rsidRDefault="00C64CDF" w:rsidP="00585F5A">
      <w:pPr>
        <w:rPr>
          <w:rFonts w:ascii="Garamond" w:eastAsia="Times New Roman" w:hAnsi="Garamond" w:cs="Times New Roman"/>
        </w:rPr>
      </w:pPr>
      <w:r w:rsidRPr="00AD18AA">
        <w:rPr>
          <w:rStyle w:val="FootnoteReference"/>
          <w:rFonts w:ascii="Garamond" w:hAnsi="Garamond"/>
        </w:rPr>
        <w:footnoteRef/>
      </w:r>
      <w:r w:rsidRPr="00AD18AA">
        <w:rPr>
          <w:rFonts w:ascii="Garamond" w:hAnsi="Garamond"/>
        </w:rPr>
        <w:t xml:space="preserve"> See e.g., </w:t>
      </w:r>
      <w:r w:rsidRPr="00AD18AA">
        <w:rPr>
          <w:rFonts w:ascii="Garamond" w:eastAsia="Times New Roman" w:hAnsi="Garamond" w:cs="Times New Roman"/>
          <w:i/>
          <w:iCs/>
        </w:rPr>
        <w:t>United States v. Brown</w:t>
      </w:r>
      <w:r w:rsidRPr="00AD18AA">
        <w:rPr>
          <w:rFonts w:ascii="Garamond" w:eastAsia="Times New Roman" w:hAnsi="Garamond" w:cs="Times New Roman"/>
        </w:rPr>
        <w:t xml:space="preserve"> (9th Cir. 2019) 925 F.3d 1150 at page 1156, referencing Justice Stevens concurring and dissenting opinion in </w:t>
      </w:r>
      <w:r w:rsidRPr="00AD18AA">
        <w:rPr>
          <w:rFonts w:ascii="Garamond" w:eastAsia="Times New Roman" w:hAnsi="Garamond" w:cs="Times New Roman"/>
          <w:i/>
          <w:iCs/>
        </w:rPr>
        <w:t>Illinois v. Wardlow</w:t>
      </w:r>
      <w:r w:rsidRPr="00AD18AA">
        <w:rPr>
          <w:rFonts w:ascii="Garamond" w:eastAsia="Times New Roman" w:hAnsi="Garamond" w:cs="Times New Roman"/>
        </w:rPr>
        <w:t xml:space="preserve"> (2000) 528 U.S. 119, and noting how the recent increase in data on police practices can “inform the inferences to be drawn from an individual who decides to step away, run, or flee from police without a clear reason to do otherwise.”</w:t>
      </w:r>
    </w:p>
  </w:footnote>
  <w:footnote w:id="31">
    <w:p w14:paraId="33C0E028" w14:textId="77777777" w:rsidR="00EB706E" w:rsidRPr="00AD18AA" w:rsidRDefault="00EB706E">
      <w:pPr>
        <w:pStyle w:val="FootnoteText"/>
        <w:rPr>
          <w:rFonts w:ascii="Garamond" w:hAnsi="Garamond"/>
          <w:sz w:val="22"/>
          <w:szCs w:val="22"/>
        </w:rPr>
      </w:pPr>
      <w:r w:rsidRPr="00AD18AA">
        <w:rPr>
          <w:rStyle w:val="FootnoteReference"/>
          <w:rFonts w:ascii="Garamond" w:hAnsi="Garamond"/>
          <w:sz w:val="22"/>
          <w:szCs w:val="22"/>
        </w:rPr>
        <w:footnoteRef/>
      </w:r>
      <w:r w:rsidRPr="00AD18AA">
        <w:rPr>
          <w:rFonts w:ascii="Garamond" w:hAnsi="Garamond"/>
          <w:sz w:val="22"/>
          <w:szCs w:val="22"/>
        </w:rPr>
        <w:t xml:space="preserve"> And the Supreme Court</w:t>
      </w:r>
      <w:r w:rsidR="00664451" w:rsidRPr="00AD18AA">
        <w:rPr>
          <w:rFonts w:ascii="Garamond" w:hAnsi="Garamond"/>
          <w:sz w:val="22"/>
          <w:szCs w:val="22"/>
        </w:rPr>
        <w:t xml:space="preserve"> </w:t>
      </w:r>
      <w:r w:rsidRPr="00AD18AA">
        <w:rPr>
          <w:rFonts w:ascii="Garamond" w:hAnsi="Garamond"/>
          <w:sz w:val="22"/>
          <w:szCs w:val="22"/>
        </w:rPr>
        <w:t xml:space="preserve">had the nerve to begin the opinion with: </w:t>
      </w:r>
      <w:r w:rsidR="00740BC4" w:rsidRPr="00AD18AA">
        <w:rPr>
          <w:rFonts w:ascii="Garamond" w:hAnsi="Garamond"/>
          <w:sz w:val="22"/>
          <w:szCs w:val="22"/>
        </w:rPr>
        <w:t>“</w:t>
      </w:r>
      <w:r w:rsidRPr="00AD18AA">
        <w:rPr>
          <w:rFonts w:ascii="Garamond" w:hAnsi="Garamond"/>
          <w:sz w:val="22"/>
          <w:szCs w:val="22"/>
        </w:rPr>
        <w:t>Pool brought trouble -- not to River City, but to the Charleston Naval Base.</w:t>
      </w:r>
      <w:r w:rsidR="00740BC4" w:rsidRPr="00AD18AA">
        <w:rPr>
          <w:rFonts w:ascii="Garamond" w:hAnsi="Garamond"/>
          <w:sz w:val="22"/>
          <w:szCs w:val="22"/>
        </w:rPr>
        <w:t>”</w:t>
      </w:r>
      <w:r w:rsidRPr="00AD18AA">
        <w:rPr>
          <w:rFonts w:ascii="Garamond" w:hAnsi="Garamond"/>
          <w:sz w:val="22"/>
          <w:szCs w:val="22"/>
        </w:rPr>
        <w:t xml:space="preserve"> </w:t>
      </w:r>
      <w:r w:rsidR="00CD7442" w:rsidRPr="00AD18AA">
        <w:rPr>
          <w:rFonts w:ascii="Garamond" w:hAnsi="Garamond"/>
          <w:sz w:val="22"/>
          <w:szCs w:val="22"/>
        </w:rPr>
        <w:t>Can we at least act like we’re taking this seriously, guys?</w:t>
      </w:r>
    </w:p>
  </w:footnote>
  <w:footnote w:id="32">
    <w:p w14:paraId="096440D7" w14:textId="77777777" w:rsidR="002854D4" w:rsidRPr="00AD18AA" w:rsidRDefault="00227509">
      <w:pPr>
        <w:pStyle w:val="FootnoteText"/>
        <w:rPr>
          <w:rFonts w:ascii="Garamond" w:hAnsi="Garamond"/>
          <w:sz w:val="22"/>
          <w:szCs w:val="22"/>
        </w:rPr>
      </w:pPr>
      <w:r w:rsidRPr="00AD18AA">
        <w:rPr>
          <w:rStyle w:val="FootnoteReference"/>
          <w:rFonts w:ascii="Garamond" w:hAnsi="Garamond"/>
          <w:sz w:val="22"/>
          <w:szCs w:val="22"/>
        </w:rPr>
        <w:footnoteRef/>
      </w:r>
      <w:r w:rsidRPr="00AD18AA">
        <w:rPr>
          <w:rFonts w:ascii="Garamond" w:hAnsi="Garamond"/>
          <w:sz w:val="22"/>
          <w:szCs w:val="22"/>
        </w:rPr>
        <w:t xml:space="preserve"> While seldom cited in California, at least one state court has </w:t>
      </w:r>
      <w:r w:rsidR="002854D4" w:rsidRPr="00AD18AA">
        <w:rPr>
          <w:rFonts w:ascii="Garamond" w:hAnsi="Garamond"/>
          <w:sz w:val="22"/>
          <w:szCs w:val="22"/>
        </w:rPr>
        <w:t>used</w:t>
      </w:r>
      <w:r w:rsidRPr="00AD18AA">
        <w:rPr>
          <w:rFonts w:ascii="Garamond" w:hAnsi="Garamond"/>
          <w:sz w:val="22"/>
          <w:szCs w:val="22"/>
        </w:rPr>
        <w:t xml:space="preserve"> Professor Ainsworth’s research </w:t>
      </w:r>
      <w:r w:rsidR="002854D4" w:rsidRPr="00AD18AA">
        <w:rPr>
          <w:rFonts w:ascii="Garamond" w:hAnsi="Garamond"/>
          <w:sz w:val="22"/>
          <w:szCs w:val="22"/>
        </w:rPr>
        <w:t xml:space="preserve">to interpret </w:t>
      </w:r>
      <w:r w:rsidRPr="00AD18AA">
        <w:rPr>
          <w:rFonts w:ascii="Garamond" w:hAnsi="Garamond"/>
          <w:sz w:val="22"/>
          <w:szCs w:val="22"/>
        </w:rPr>
        <w:t xml:space="preserve">a police officer’s statements to an in-custody defendant. In </w:t>
      </w:r>
      <w:r w:rsidRPr="00AD18AA">
        <w:rPr>
          <w:rFonts w:ascii="Garamond" w:hAnsi="Garamond"/>
          <w:i/>
          <w:sz w:val="22"/>
          <w:szCs w:val="22"/>
        </w:rPr>
        <w:t>State v. Brown</w:t>
      </w:r>
      <w:r w:rsidRPr="00AD18AA">
        <w:rPr>
          <w:rFonts w:ascii="Garamond" w:hAnsi="Garamond"/>
          <w:sz w:val="22"/>
          <w:szCs w:val="22"/>
        </w:rPr>
        <w:t xml:space="preserve"> (Kan. 2021) 486 P.3d 624, 657, the defendant was in custody, though he had not been read </w:t>
      </w:r>
      <w:r w:rsidRPr="00AD18AA">
        <w:rPr>
          <w:rFonts w:ascii="Garamond" w:hAnsi="Garamond"/>
          <w:i/>
          <w:sz w:val="22"/>
          <w:szCs w:val="22"/>
        </w:rPr>
        <w:t>Miranda</w:t>
      </w:r>
      <w:r w:rsidRPr="00AD18AA">
        <w:rPr>
          <w:rFonts w:ascii="Garamond" w:hAnsi="Garamond"/>
          <w:sz w:val="22"/>
          <w:szCs w:val="22"/>
        </w:rPr>
        <w:t>. (</w:t>
      </w:r>
      <w:r w:rsidRPr="00AD18AA">
        <w:rPr>
          <w:rFonts w:ascii="Garamond" w:hAnsi="Garamond"/>
          <w:i/>
          <w:sz w:val="22"/>
          <w:szCs w:val="22"/>
        </w:rPr>
        <w:t>Ibid</w:t>
      </w:r>
      <w:r w:rsidRPr="00AD18AA">
        <w:rPr>
          <w:rFonts w:ascii="Garamond" w:hAnsi="Garamond"/>
          <w:sz w:val="22"/>
          <w:szCs w:val="22"/>
        </w:rPr>
        <w:t>.) The officer told the defendant not to talk to him about the incident but also said, “I’m assuming you know what this is about” and “I’m assuming you were expecting us.” (</w:t>
      </w:r>
      <w:r w:rsidRPr="00AD18AA">
        <w:rPr>
          <w:rFonts w:ascii="Garamond" w:hAnsi="Garamond"/>
          <w:i/>
          <w:sz w:val="22"/>
          <w:szCs w:val="22"/>
        </w:rPr>
        <w:t>Ibid</w:t>
      </w:r>
      <w:r w:rsidRPr="00AD18AA">
        <w:rPr>
          <w:rFonts w:ascii="Garamond" w:hAnsi="Garamond"/>
          <w:sz w:val="22"/>
          <w:szCs w:val="22"/>
        </w:rPr>
        <w:t xml:space="preserve">.) And when the defendant answered, “No,” the officer said, “Okay.” </w:t>
      </w:r>
      <w:r w:rsidR="002854D4" w:rsidRPr="00AD18AA">
        <w:rPr>
          <w:rFonts w:ascii="Garamond" w:hAnsi="Garamond"/>
          <w:sz w:val="22"/>
          <w:szCs w:val="22"/>
        </w:rPr>
        <w:t>(</w:t>
      </w:r>
      <w:r w:rsidR="002854D4" w:rsidRPr="00AD18AA">
        <w:rPr>
          <w:rFonts w:ascii="Garamond" w:hAnsi="Garamond"/>
          <w:i/>
          <w:sz w:val="22"/>
          <w:szCs w:val="22"/>
        </w:rPr>
        <w:t>Ibid</w:t>
      </w:r>
      <w:r w:rsidR="002854D4" w:rsidRPr="00AD18AA">
        <w:rPr>
          <w:rFonts w:ascii="Garamond" w:hAnsi="Garamond"/>
          <w:sz w:val="22"/>
          <w:szCs w:val="22"/>
        </w:rPr>
        <w:t>.)</w:t>
      </w:r>
    </w:p>
    <w:p w14:paraId="66183791" w14:textId="77777777" w:rsidR="002854D4" w:rsidRPr="00AD18AA" w:rsidRDefault="002854D4">
      <w:pPr>
        <w:pStyle w:val="FootnoteText"/>
        <w:rPr>
          <w:rFonts w:ascii="Garamond" w:hAnsi="Garamond"/>
          <w:sz w:val="22"/>
          <w:szCs w:val="22"/>
        </w:rPr>
      </w:pPr>
    </w:p>
    <w:p w14:paraId="4A18B01C" w14:textId="77777777" w:rsidR="00227509" w:rsidRPr="00AD18AA" w:rsidRDefault="00227509">
      <w:pPr>
        <w:pStyle w:val="FootnoteText"/>
        <w:rPr>
          <w:rFonts w:ascii="Garamond" w:hAnsi="Garamond"/>
          <w:sz w:val="22"/>
          <w:szCs w:val="22"/>
        </w:rPr>
      </w:pPr>
      <w:r w:rsidRPr="00AD18AA">
        <w:rPr>
          <w:rFonts w:ascii="Garamond" w:hAnsi="Garamond"/>
          <w:sz w:val="22"/>
          <w:szCs w:val="22"/>
        </w:rPr>
        <w:t>The Kansas Supreme Court</w:t>
      </w:r>
      <w:r w:rsidR="002854D4" w:rsidRPr="00AD18AA">
        <w:rPr>
          <w:rFonts w:ascii="Garamond" w:hAnsi="Garamond"/>
          <w:sz w:val="22"/>
          <w:szCs w:val="22"/>
        </w:rPr>
        <w:t xml:space="preserve"> </w:t>
      </w:r>
      <w:r w:rsidRPr="00AD18AA">
        <w:rPr>
          <w:rFonts w:ascii="Garamond" w:hAnsi="Garamond"/>
          <w:sz w:val="22"/>
          <w:szCs w:val="22"/>
        </w:rPr>
        <w:t xml:space="preserve">reviewed the body-cam footage and, using Professor Ainsworth’s article, noted how the officer’s intonation </w:t>
      </w:r>
      <w:r w:rsidR="002854D4" w:rsidRPr="00AD18AA">
        <w:rPr>
          <w:rFonts w:ascii="Garamond" w:hAnsi="Garamond"/>
          <w:sz w:val="22"/>
          <w:szCs w:val="22"/>
        </w:rPr>
        <w:t>revealed</w:t>
      </w:r>
      <w:r w:rsidRPr="00AD18AA">
        <w:rPr>
          <w:rFonts w:ascii="Garamond" w:hAnsi="Garamond"/>
          <w:sz w:val="22"/>
          <w:szCs w:val="22"/>
        </w:rPr>
        <w:t xml:space="preserve"> he was </w:t>
      </w:r>
      <w:r w:rsidR="002854D4" w:rsidRPr="00AD18AA">
        <w:rPr>
          <w:rFonts w:ascii="Garamond" w:hAnsi="Garamond"/>
          <w:sz w:val="22"/>
          <w:szCs w:val="22"/>
        </w:rPr>
        <w:t xml:space="preserve">actually </w:t>
      </w:r>
      <w:r w:rsidRPr="00AD18AA">
        <w:rPr>
          <w:rFonts w:ascii="Garamond" w:hAnsi="Garamond"/>
          <w:sz w:val="22"/>
          <w:szCs w:val="22"/>
        </w:rPr>
        <w:t>interrogating the defendant. (</w:t>
      </w:r>
      <w:r w:rsidRPr="00AD18AA">
        <w:rPr>
          <w:rFonts w:ascii="Garamond" w:hAnsi="Garamond"/>
          <w:i/>
          <w:sz w:val="22"/>
          <w:szCs w:val="22"/>
        </w:rPr>
        <w:t>Id</w:t>
      </w:r>
      <w:r w:rsidRPr="00AD18AA">
        <w:rPr>
          <w:rFonts w:ascii="Garamond" w:hAnsi="Garamond"/>
          <w:sz w:val="22"/>
          <w:szCs w:val="22"/>
        </w:rPr>
        <w:t xml:space="preserve">. at p. 658.) The officer’s tone of voice showed that he was not merely making a declarative statement, as the prosecution had argued, but was rather asking a question. </w:t>
      </w:r>
      <w:r w:rsidR="002854D4" w:rsidRPr="00AD18AA">
        <w:rPr>
          <w:rFonts w:ascii="Garamond" w:hAnsi="Garamond"/>
          <w:sz w:val="22"/>
          <w:szCs w:val="22"/>
        </w:rPr>
        <w:t>(</w:t>
      </w:r>
      <w:r w:rsidR="002854D4" w:rsidRPr="00AD18AA">
        <w:rPr>
          <w:rFonts w:ascii="Garamond" w:hAnsi="Garamond"/>
          <w:i/>
          <w:sz w:val="22"/>
          <w:szCs w:val="22"/>
        </w:rPr>
        <w:t>Ibid</w:t>
      </w:r>
      <w:r w:rsidR="002854D4" w:rsidRPr="00AD18AA">
        <w:rPr>
          <w:rFonts w:ascii="Garamond" w:hAnsi="Garamond"/>
          <w:sz w:val="22"/>
          <w:szCs w:val="22"/>
        </w:rPr>
        <w:t xml:space="preserve">.) </w:t>
      </w:r>
      <w:r w:rsidRPr="00AD18AA">
        <w:rPr>
          <w:rFonts w:ascii="Garamond" w:hAnsi="Garamond"/>
          <w:sz w:val="22"/>
          <w:szCs w:val="22"/>
        </w:rPr>
        <w:t>His use of “okay” after the defendant’s answer was similarly meant to encourage the defendant to keep talking. (</w:t>
      </w:r>
      <w:r w:rsidRPr="00AD18AA">
        <w:rPr>
          <w:rFonts w:ascii="Garamond" w:hAnsi="Garamond"/>
          <w:i/>
          <w:sz w:val="22"/>
          <w:szCs w:val="22"/>
        </w:rPr>
        <w:t>Id</w:t>
      </w:r>
      <w:r w:rsidRPr="00AD18AA">
        <w:rPr>
          <w:rFonts w:ascii="Garamond" w:hAnsi="Garamond"/>
          <w:sz w:val="22"/>
          <w:szCs w:val="22"/>
        </w:rPr>
        <w:t>. at pp. 658-659.) The Court held th</w:t>
      </w:r>
      <w:r w:rsidR="002854D4" w:rsidRPr="00AD18AA">
        <w:rPr>
          <w:rFonts w:ascii="Garamond" w:hAnsi="Garamond"/>
          <w:sz w:val="22"/>
          <w:szCs w:val="22"/>
        </w:rPr>
        <w:t>at th</w:t>
      </w:r>
      <w:r w:rsidRPr="00AD18AA">
        <w:rPr>
          <w:rFonts w:ascii="Garamond" w:hAnsi="Garamond"/>
          <w:sz w:val="22"/>
          <w:szCs w:val="22"/>
        </w:rPr>
        <w:t>e statements therefore constituted custodial interrogation. (</w:t>
      </w:r>
      <w:r w:rsidRPr="00AD18AA">
        <w:rPr>
          <w:rFonts w:ascii="Garamond" w:hAnsi="Garamond"/>
          <w:i/>
          <w:sz w:val="22"/>
          <w:szCs w:val="22"/>
        </w:rPr>
        <w:t>Id</w:t>
      </w:r>
      <w:r w:rsidRPr="00AD18AA">
        <w:rPr>
          <w:rFonts w:ascii="Garamond" w:hAnsi="Garamond"/>
          <w:sz w:val="22"/>
          <w:szCs w:val="22"/>
        </w:rPr>
        <w:t xml:space="preserve">. at p. 660.) So while Professor Ainsworth has seldom been cited by California courts, her research provides fertile ground for arguments involving </w:t>
      </w:r>
      <w:r w:rsidRPr="00AD18AA">
        <w:rPr>
          <w:rFonts w:ascii="Garamond" w:hAnsi="Garamond"/>
          <w:i/>
          <w:sz w:val="22"/>
          <w:szCs w:val="22"/>
        </w:rPr>
        <w:t>Miranda</w:t>
      </w:r>
      <w:r w:rsidRPr="00AD18AA">
        <w:rPr>
          <w:rFonts w:ascii="Garamond" w:hAnsi="Garamond"/>
          <w:sz w:val="22"/>
          <w:szCs w:val="22"/>
        </w:rPr>
        <w:t xml:space="preserve"> issues. </w:t>
      </w:r>
    </w:p>
  </w:footnote>
  <w:footnote w:id="33">
    <w:p w14:paraId="3028F45F" w14:textId="77777777" w:rsidR="00085B7A" w:rsidRPr="00AD18AA" w:rsidRDefault="00085B7A">
      <w:pPr>
        <w:pStyle w:val="FootnoteText"/>
        <w:rPr>
          <w:rFonts w:ascii="Garamond" w:hAnsi="Garamond"/>
          <w:sz w:val="22"/>
          <w:szCs w:val="22"/>
        </w:rPr>
      </w:pPr>
      <w:r w:rsidRPr="00AD18AA">
        <w:rPr>
          <w:rStyle w:val="FootnoteReference"/>
          <w:rFonts w:ascii="Garamond" w:hAnsi="Garamond"/>
          <w:sz w:val="22"/>
          <w:szCs w:val="22"/>
        </w:rPr>
        <w:footnoteRef/>
      </w:r>
      <w:r w:rsidRPr="00AD18AA">
        <w:rPr>
          <w:rFonts w:ascii="Garamond" w:hAnsi="Garamond"/>
          <w:sz w:val="22"/>
          <w:szCs w:val="22"/>
        </w:rPr>
        <w:t xml:space="preserve"> Note, </w:t>
      </w:r>
      <w:r w:rsidRPr="00AD18AA">
        <w:rPr>
          <w:rFonts w:ascii="Garamond" w:hAnsi="Garamond"/>
          <w:i/>
          <w:sz w:val="22"/>
          <w:szCs w:val="22"/>
        </w:rPr>
        <w:t>Promise-Induced False Confessions: Lessons from Promises in Another Context</w:t>
      </w:r>
      <w:r w:rsidR="001461B6" w:rsidRPr="00AD18AA">
        <w:rPr>
          <w:rFonts w:ascii="Garamond" w:hAnsi="Garamond"/>
          <w:sz w:val="22"/>
          <w:szCs w:val="22"/>
        </w:rPr>
        <w:t xml:space="preserve"> (2019) 60 B.C. L.</w:t>
      </w:r>
      <w:r w:rsidRPr="00AD18AA">
        <w:rPr>
          <w:rFonts w:ascii="Garamond" w:hAnsi="Garamond"/>
          <w:sz w:val="22"/>
          <w:szCs w:val="22"/>
        </w:rPr>
        <w:t>Rev. 1641, 1643, fn. 12.</w:t>
      </w:r>
    </w:p>
  </w:footnote>
  <w:footnote w:id="34">
    <w:p w14:paraId="2E339DF4" w14:textId="77777777" w:rsidR="00085B7A" w:rsidRPr="00AD18AA" w:rsidRDefault="00085B7A">
      <w:pPr>
        <w:pStyle w:val="FootnoteText"/>
        <w:rPr>
          <w:rFonts w:ascii="Garamond" w:hAnsi="Garamond"/>
          <w:sz w:val="22"/>
          <w:szCs w:val="22"/>
        </w:rPr>
      </w:pPr>
      <w:r w:rsidRPr="00AD18AA">
        <w:rPr>
          <w:rStyle w:val="FootnoteReference"/>
          <w:rFonts w:ascii="Garamond" w:hAnsi="Garamond"/>
          <w:sz w:val="22"/>
          <w:szCs w:val="22"/>
        </w:rPr>
        <w:footnoteRef/>
      </w:r>
      <w:r w:rsidRPr="00AD18AA">
        <w:rPr>
          <w:rFonts w:ascii="Garamond" w:hAnsi="Garamond"/>
          <w:sz w:val="22"/>
          <w:szCs w:val="22"/>
        </w:rPr>
        <w:t xml:space="preserve"> Ofshe &amp; Leo, </w:t>
      </w:r>
      <w:r w:rsidRPr="00AD18AA">
        <w:rPr>
          <w:rFonts w:ascii="Garamond" w:hAnsi="Garamond"/>
          <w:i/>
          <w:sz w:val="22"/>
          <w:szCs w:val="22"/>
        </w:rPr>
        <w:t>The Decision to Confess Falsely: Rational Choice and Irrational Action</w:t>
      </w:r>
      <w:r w:rsidRPr="00AD18AA">
        <w:rPr>
          <w:rFonts w:ascii="Garamond" w:hAnsi="Garamond"/>
          <w:sz w:val="22"/>
          <w:szCs w:val="22"/>
        </w:rPr>
        <w:t xml:space="preserve"> (1997) 74 Denv. U.</w:t>
      </w:r>
      <w:r w:rsidR="001461B6" w:rsidRPr="00AD18AA">
        <w:rPr>
          <w:rFonts w:ascii="Garamond" w:hAnsi="Garamond"/>
          <w:sz w:val="22"/>
          <w:szCs w:val="22"/>
        </w:rPr>
        <w:t xml:space="preserve"> L.</w:t>
      </w:r>
      <w:r w:rsidRPr="00AD18AA">
        <w:rPr>
          <w:rFonts w:ascii="Garamond" w:hAnsi="Garamond"/>
          <w:sz w:val="22"/>
          <w:szCs w:val="22"/>
        </w:rPr>
        <w:t>Rev. 979.</w:t>
      </w:r>
    </w:p>
  </w:footnote>
  <w:footnote w:id="35">
    <w:p w14:paraId="0D3F7163" w14:textId="77777777" w:rsidR="000A300C" w:rsidRPr="00AD18AA" w:rsidRDefault="000A300C">
      <w:pPr>
        <w:pStyle w:val="FootnoteText"/>
        <w:rPr>
          <w:rFonts w:ascii="Garamond" w:hAnsi="Garamond"/>
          <w:sz w:val="22"/>
          <w:szCs w:val="22"/>
        </w:rPr>
      </w:pPr>
      <w:r w:rsidRPr="00AD18AA">
        <w:rPr>
          <w:rStyle w:val="FootnoteReference"/>
          <w:rFonts w:ascii="Garamond" w:hAnsi="Garamond"/>
          <w:sz w:val="22"/>
          <w:szCs w:val="22"/>
        </w:rPr>
        <w:footnoteRef/>
      </w:r>
      <w:r w:rsidRPr="00AD18AA">
        <w:rPr>
          <w:rFonts w:ascii="Garamond" w:hAnsi="Garamond"/>
          <w:sz w:val="22"/>
          <w:szCs w:val="22"/>
        </w:rPr>
        <w:t xml:space="preserve"> </w:t>
      </w:r>
      <w:r w:rsidRPr="00AD18AA">
        <w:rPr>
          <w:rFonts w:ascii="Garamond" w:hAnsi="Garamond"/>
          <w:i/>
          <w:sz w:val="22"/>
          <w:szCs w:val="22"/>
        </w:rPr>
        <w:t>Id</w:t>
      </w:r>
      <w:r w:rsidRPr="00AD18AA">
        <w:rPr>
          <w:rFonts w:ascii="Garamond" w:hAnsi="Garamond"/>
          <w:sz w:val="22"/>
          <w:szCs w:val="22"/>
        </w:rPr>
        <w:t>. at pp. 997-1001.</w:t>
      </w:r>
    </w:p>
  </w:footnote>
  <w:footnote w:id="36">
    <w:p w14:paraId="55ED8AFA" w14:textId="77777777" w:rsidR="00C474EE" w:rsidRPr="00AD18AA" w:rsidRDefault="00C474EE">
      <w:pPr>
        <w:pStyle w:val="FootnoteText"/>
        <w:rPr>
          <w:rFonts w:ascii="Garamond" w:hAnsi="Garamond"/>
          <w:sz w:val="22"/>
          <w:szCs w:val="22"/>
        </w:rPr>
      </w:pPr>
      <w:r w:rsidRPr="00AD18AA">
        <w:rPr>
          <w:rStyle w:val="FootnoteReference"/>
          <w:rFonts w:ascii="Garamond" w:hAnsi="Garamond"/>
          <w:sz w:val="22"/>
          <w:szCs w:val="22"/>
        </w:rPr>
        <w:footnoteRef/>
      </w:r>
      <w:r w:rsidRPr="00AD18AA">
        <w:rPr>
          <w:rFonts w:ascii="Garamond" w:hAnsi="Garamond"/>
          <w:sz w:val="22"/>
          <w:szCs w:val="22"/>
        </w:rPr>
        <w:t xml:space="preserve"> </w:t>
      </w:r>
      <w:r w:rsidR="00305974" w:rsidRPr="00AD18AA">
        <w:rPr>
          <w:rFonts w:ascii="Garamond" w:hAnsi="Garamond"/>
          <w:sz w:val="22"/>
          <w:szCs w:val="22"/>
        </w:rPr>
        <w:t xml:space="preserve">Ofshe and Leo provide examples of false confessions where the accused was later exonerated. (Ofshe &amp; Leo, </w:t>
      </w:r>
      <w:r w:rsidR="00305974" w:rsidRPr="00AD18AA">
        <w:rPr>
          <w:rFonts w:ascii="Garamond" w:hAnsi="Garamond"/>
          <w:i/>
          <w:sz w:val="22"/>
          <w:szCs w:val="22"/>
        </w:rPr>
        <w:t>supra</w:t>
      </w:r>
      <w:r w:rsidR="00305974" w:rsidRPr="00AD18AA">
        <w:rPr>
          <w:rFonts w:ascii="Garamond" w:hAnsi="Garamond"/>
          <w:sz w:val="22"/>
          <w:szCs w:val="22"/>
        </w:rPr>
        <w:t xml:space="preserve">, 74 Denv. U. L.Rev. at pp. 994-997.) </w:t>
      </w:r>
      <w:r w:rsidR="0044309A" w:rsidRPr="00AD18AA">
        <w:rPr>
          <w:rFonts w:ascii="Garamond" w:hAnsi="Garamond"/>
          <w:sz w:val="22"/>
          <w:szCs w:val="22"/>
        </w:rPr>
        <w:t>A m</w:t>
      </w:r>
      <w:r w:rsidR="00305974" w:rsidRPr="00AD18AA">
        <w:rPr>
          <w:rFonts w:ascii="Garamond" w:hAnsi="Garamond"/>
          <w:sz w:val="22"/>
          <w:szCs w:val="22"/>
        </w:rPr>
        <w:t xml:space="preserve">ore recent </w:t>
      </w:r>
      <w:r w:rsidR="0044309A" w:rsidRPr="00AD18AA">
        <w:rPr>
          <w:rFonts w:ascii="Garamond" w:hAnsi="Garamond"/>
          <w:sz w:val="22"/>
          <w:szCs w:val="22"/>
        </w:rPr>
        <w:t>real-world example</w:t>
      </w:r>
      <w:r w:rsidR="00305974" w:rsidRPr="00AD18AA">
        <w:rPr>
          <w:rFonts w:ascii="Garamond" w:hAnsi="Garamond"/>
          <w:sz w:val="22"/>
          <w:szCs w:val="22"/>
        </w:rPr>
        <w:t xml:space="preserve"> </w:t>
      </w:r>
      <w:r w:rsidR="0044309A" w:rsidRPr="00AD18AA">
        <w:rPr>
          <w:rFonts w:ascii="Garamond" w:hAnsi="Garamond"/>
          <w:sz w:val="22"/>
          <w:szCs w:val="22"/>
        </w:rPr>
        <w:t xml:space="preserve">can be found in </w:t>
      </w:r>
      <w:r w:rsidR="0044309A" w:rsidRPr="00AD18AA">
        <w:rPr>
          <w:rFonts w:ascii="Garamond" w:hAnsi="Garamond"/>
          <w:i/>
          <w:sz w:val="22"/>
          <w:szCs w:val="22"/>
        </w:rPr>
        <w:t>Promise-Induced False Confessions: Lessons from Promises in Another Context</w:t>
      </w:r>
      <w:r w:rsidR="0044309A" w:rsidRPr="00AD18AA">
        <w:rPr>
          <w:rFonts w:ascii="Garamond" w:hAnsi="Garamond"/>
          <w:sz w:val="22"/>
          <w:szCs w:val="22"/>
        </w:rPr>
        <w:t xml:space="preserve">, </w:t>
      </w:r>
      <w:r w:rsidR="0044309A" w:rsidRPr="00AD18AA">
        <w:rPr>
          <w:rFonts w:ascii="Garamond" w:hAnsi="Garamond"/>
          <w:i/>
          <w:sz w:val="22"/>
          <w:szCs w:val="22"/>
        </w:rPr>
        <w:t>supra</w:t>
      </w:r>
      <w:r w:rsidR="0044309A" w:rsidRPr="00AD18AA">
        <w:rPr>
          <w:rFonts w:ascii="Garamond" w:hAnsi="Garamond"/>
          <w:sz w:val="22"/>
          <w:szCs w:val="22"/>
        </w:rPr>
        <w:t xml:space="preserve">. 60 B.C. L.Rev. at pp. 1641-1642. </w:t>
      </w:r>
      <w:r w:rsidR="0044309A" w:rsidRPr="00AD18AA">
        <w:rPr>
          <w:rFonts w:ascii="Garamond" w:hAnsi="Garamond"/>
          <w:i/>
          <w:sz w:val="22"/>
          <w:szCs w:val="22"/>
        </w:rPr>
        <w:t>In re Elias V.</w:t>
      </w:r>
      <w:r w:rsidR="0044309A" w:rsidRPr="00AD18AA">
        <w:rPr>
          <w:rFonts w:ascii="Garamond" w:hAnsi="Garamond"/>
          <w:sz w:val="22"/>
          <w:szCs w:val="22"/>
        </w:rPr>
        <w:t xml:space="preserve"> (2015) 237 Cal.App.4th 568, is a great case on involuntary confessions discussed more below. </w:t>
      </w:r>
    </w:p>
  </w:footnote>
  <w:footnote w:id="37">
    <w:p w14:paraId="14F97283" w14:textId="3FAE3FD1" w:rsidR="008F791F" w:rsidRPr="00AD18AA" w:rsidRDefault="008F791F" w:rsidP="008F791F">
      <w:pPr>
        <w:rPr>
          <w:rFonts w:ascii="Garamond" w:hAnsi="Garamond" w:cs="AppleSystemUIFont"/>
        </w:rPr>
      </w:pPr>
      <w:r w:rsidRPr="00AD18AA">
        <w:rPr>
          <w:rStyle w:val="FootnoteReference"/>
          <w:rFonts w:ascii="Garamond" w:hAnsi="Garamond"/>
        </w:rPr>
        <w:footnoteRef/>
      </w:r>
      <w:r w:rsidRPr="00AD18AA">
        <w:rPr>
          <w:rFonts w:ascii="Garamond" w:hAnsi="Garamond"/>
        </w:rPr>
        <w:t xml:space="preserve"> </w:t>
      </w:r>
      <w:r w:rsidRPr="00AD18AA">
        <w:rPr>
          <w:rFonts w:ascii="Garamond" w:hAnsi="Garamond" w:cs="AppleSystemUIFont"/>
        </w:rPr>
        <w:t xml:space="preserve">Comment, </w:t>
      </w:r>
      <w:r w:rsidRPr="00AD18AA">
        <w:rPr>
          <w:rFonts w:ascii="Garamond" w:hAnsi="Garamond" w:cs="AppleSystemUIFont"/>
          <w:i/>
        </w:rPr>
        <w:t>Wrongly Accused: is Race a Factor in Convicting the Innocence</w:t>
      </w:r>
      <w:r w:rsidRPr="00AD18AA">
        <w:rPr>
          <w:rFonts w:ascii="Garamond" w:hAnsi="Garamond" w:cs="AppleSystemUIFont"/>
        </w:rPr>
        <w:t xml:space="preserve"> (2006) 4 Ohio St. J. Crim. L. 121. </w:t>
      </w:r>
    </w:p>
    <w:p w14:paraId="40AACF53" w14:textId="77777777" w:rsidR="008F791F" w:rsidRPr="00AD18AA" w:rsidRDefault="008F791F" w:rsidP="008F791F">
      <w:pPr>
        <w:pStyle w:val="FootnoteText"/>
        <w:rPr>
          <w:rFonts w:ascii="Garamond" w:hAnsi="Garamond"/>
          <w:sz w:val="22"/>
          <w:szCs w:val="22"/>
        </w:rPr>
      </w:pPr>
    </w:p>
  </w:footnote>
  <w:footnote w:id="38">
    <w:p w14:paraId="73E084C8" w14:textId="77777777" w:rsidR="008F791F" w:rsidRPr="00AD18AA" w:rsidRDefault="008F791F">
      <w:pPr>
        <w:pStyle w:val="FootnoteText"/>
        <w:rPr>
          <w:rFonts w:ascii="Garamond" w:hAnsi="Garamond"/>
          <w:sz w:val="22"/>
          <w:szCs w:val="22"/>
        </w:rPr>
      </w:pPr>
      <w:r w:rsidRPr="00AD18AA">
        <w:rPr>
          <w:rStyle w:val="FootnoteReference"/>
          <w:rFonts w:ascii="Garamond" w:hAnsi="Garamond"/>
          <w:sz w:val="22"/>
          <w:szCs w:val="22"/>
        </w:rPr>
        <w:footnoteRef/>
      </w:r>
      <w:r w:rsidRPr="00AD18AA">
        <w:rPr>
          <w:rFonts w:ascii="Garamond" w:hAnsi="Garamond"/>
          <w:sz w:val="22"/>
          <w:szCs w:val="22"/>
        </w:rPr>
        <w:t xml:space="preserve"> </w:t>
      </w:r>
      <w:r w:rsidRPr="00AD18AA">
        <w:rPr>
          <w:rFonts w:ascii="Garamond" w:hAnsi="Garamond" w:cs="AppleSystemUIFont"/>
          <w:sz w:val="22"/>
          <w:szCs w:val="22"/>
        </w:rPr>
        <w:t xml:space="preserve">See also </w:t>
      </w:r>
      <w:r w:rsidRPr="00AD18AA">
        <w:rPr>
          <w:rFonts w:ascii="Garamond" w:hAnsi="Garamond" w:cs="AppleSystemUIFont"/>
          <w:i/>
          <w:iCs/>
          <w:sz w:val="22"/>
          <w:szCs w:val="22"/>
        </w:rPr>
        <w:t>Symposium, Wrongful Conviction: Cause and Cure: Panel Three: Race, Informant, and False Confession: Wrongly Accused Redux: How Race Contributes to Convicting the Innocent</w:t>
      </w:r>
      <w:r w:rsidRPr="00AD18AA">
        <w:rPr>
          <w:rFonts w:ascii="Garamond" w:hAnsi="Garamond" w:cs="AppleSystemUIFont"/>
          <w:sz w:val="22"/>
          <w:szCs w:val="22"/>
        </w:rPr>
        <w:t xml:space="preserve"> (2008) 37 Sw. L. Rev. 1091, 1091-1092 [Talitz’s 2008 review of the numerous empirical studies that show inherent and pervasive racial bias at all stages of a criminal prosecution]; see also Article, </w:t>
      </w:r>
      <w:r w:rsidRPr="00AD18AA">
        <w:rPr>
          <w:rFonts w:ascii="Garamond" w:hAnsi="Garamond" w:cs="AppleSystemUIFont"/>
          <w:i/>
          <w:iCs/>
          <w:sz w:val="22"/>
          <w:szCs w:val="22"/>
        </w:rPr>
        <w:t>Implicit</w:t>
      </w:r>
      <w:r w:rsidRPr="00AD18AA">
        <w:rPr>
          <w:rFonts w:ascii="Garamond" w:hAnsi="Garamond" w:cs="AppleSystemUIFont"/>
          <w:bCs/>
          <w:i/>
          <w:iCs/>
          <w:sz w:val="22"/>
          <w:szCs w:val="22"/>
        </w:rPr>
        <w:t xml:space="preserve"> Bias in the Courtroom</w:t>
      </w:r>
      <w:r w:rsidRPr="00AD18AA">
        <w:rPr>
          <w:rFonts w:ascii="Garamond" w:hAnsi="Garamond" w:cs="AppleSystemUIFont"/>
          <w:bCs/>
          <w:sz w:val="22"/>
          <w:szCs w:val="22"/>
        </w:rPr>
        <w:t xml:space="preserve"> (2012) 59 UCLA L. Rev. 1124, 1135.</w:t>
      </w:r>
    </w:p>
  </w:footnote>
  <w:footnote w:id="39">
    <w:p w14:paraId="64C44EEB" w14:textId="7687501F" w:rsidR="002F4A80" w:rsidRPr="00AD18AA" w:rsidRDefault="002F4A80">
      <w:pPr>
        <w:pStyle w:val="FootnoteText"/>
        <w:rPr>
          <w:rFonts w:ascii="Garamond" w:hAnsi="Garamond"/>
          <w:sz w:val="22"/>
          <w:szCs w:val="22"/>
        </w:rPr>
      </w:pPr>
      <w:r w:rsidRPr="00AD18AA">
        <w:rPr>
          <w:rStyle w:val="FootnoteReference"/>
          <w:rFonts w:ascii="Garamond" w:hAnsi="Garamond"/>
          <w:sz w:val="22"/>
          <w:szCs w:val="22"/>
        </w:rPr>
        <w:footnoteRef/>
      </w:r>
      <w:r w:rsidRPr="00AD18AA">
        <w:rPr>
          <w:rFonts w:ascii="Garamond" w:hAnsi="Garamond"/>
          <w:sz w:val="22"/>
          <w:szCs w:val="22"/>
        </w:rPr>
        <w:t xml:space="preserve"> </w:t>
      </w:r>
      <w:r w:rsidR="00A557D3">
        <w:rPr>
          <w:rFonts w:ascii="Garamond" w:hAnsi="Garamond" w:cs="AppleSystemUIFont"/>
          <w:sz w:val="22"/>
          <w:szCs w:val="22"/>
        </w:rPr>
        <w:t>Let’s take a moment to reflect on</w:t>
      </w:r>
      <w:r w:rsidRPr="00AD18AA">
        <w:rPr>
          <w:rFonts w:ascii="Garamond" w:hAnsi="Garamond" w:cs="AppleSystemUIFont"/>
          <w:sz w:val="22"/>
          <w:szCs w:val="22"/>
        </w:rPr>
        <w:t xml:space="preserve"> Justice Kavanagh’s more recent opinion in </w:t>
      </w:r>
      <w:r w:rsidRPr="00AD18AA">
        <w:rPr>
          <w:rFonts w:ascii="Garamond" w:hAnsi="Garamond" w:cs="AppleSystemUIFont"/>
          <w:i/>
          <w:iCs/>
          <w:sz w:val="22"/>
          <w:szCs w:val="22"/>
        </w:rPr>
        <w:t>Jones v. Mississippi</w:t>
      </w:r>
      <w:r w:rsidRPr="00AD18AA">
        <w:rPr>
          <w:rFonts w:ascii="Garamond" w:hAnsi="Garamond" w:cs="AppleSystemUIFont"/>
          <w:sz w:val="22"/>
          <w:szCs w:val="22"/>
        </w:rPr>
        <w:t xml:space="preserve"> (2021) ___U.S.___ [141 S.Ct. 1307, 1328], </w:t>
      </w:r>
      <w:r w:rsidR="006D06DB" w:rsidRPr="00AD18AA">
        <w:rPr>
          <w:rFonts w:ascii="Garamond" w:hAnsi="Garamond" w:cs="AppleSystemUIFont"/>
          <w:sz w:val="22"/>
          <w:szCs w:val="22"/>
        </w:rPr>
        <w:t>which held that only mandatory LWOP sentences were precluded under the Eight Amendment, that discretionary LWOP sentences were permitted for murders committe</w:t>
      </w:r>
      <w:r w:rsidR="00A557D3">
        <w:rPr>
          <w:rFonts w:ascii="Garamond" w:hAnsi="Garamond" w:cs="AppleSystemUIFont"/>
          <w:sz w:val="22"/>
          <w:szCs w:val="22"/>
        </w:rPr>
        <w:t xml:space="preserve">d by those under 18, and </w:t>
      </w:r>
      <w:r w:rsidR="006D06DB" w:rsidRPr="00AD18AA">
        <w:rPr>
          <w:rFonts w:ascii="Garamond" w:hAnsi="Garamond" w:cs="AppleSystemUIFont"/>
          <w:sz w:val="22"/>
          <w:szCs w:val="22"/>
        </w:rPr>
        <w:t xml:space="preserve">that no express finding of permanent incorrigibility was required before imposing LWOP. </w:t>
      </w:r>
      <w:r w:rsidR="00A557D3">
        <w:rPr>
          <w:rFonts w:ascii="Garamond" w:hAnsi="Garamond" w:cs="AppleSystemUIFont"/>
          <w:sz w:val="22"/>
          <w:szCs w:val="22"/>
        </w:rPr>
        <w:t xml:space="preserve">The words disappointing and frustrating spring to mind. </w:t>
      </w:r>
      <w:r w:rsidR="006D06DB" w:rsidRPr="00AD18AA">
        <w:rPr>
          <w:rFonts w:ascii="Garamond" w:hAnsi="Garamond" w:cs="AppleSystemUIFont"/>
          <w:sz w:val="22"/>
          <w:szCs w:val="22"/>
        </w:rPr>
        <w:t xml:space="preserve">Notwithstanding this opinion, do not be deterred from arguing the science. Justice Kavanagh himself did so. (See </w:t>
      </w:r>
      <w:r w:rsidR="006D06DB" w:rsidRPr="00AD18AA">
        <w:rPr>
          <w:rFonts w:ascii="Garamond" w:hAnsi="Garamond" w:cs="AppleSystemUIFont"/>
          <w:i/>
          <w:iCs/>
          <w:sz w:val="22"/>
          <w:szCs w:val="22"/>
        </w:rPr>
        <w:t>id</w:t>
      </w:r>
      <w:r w:rsidR="006D06DB" w:rsidRPr="00AD18AA">
        <w:rPr>
          <w:rFonts w:ascii="Garamond" w:hAnsi="Garamond" w:cs="AppleSystemUIFont"/>
          <w:sz w:val="22"/>
          <w:szCs w:val="22"/>
        </w:rPr>
        <w:t xml:space="preserve">. at p. 1322.) </w:t>
      </w:r>
      <w:r w:rsidR="00A557D3">
        <w:rPr>
          <w:rFonts w:ascii="Garamond" w:hAnsi="Garamond" w:cs="AppleSystemUIFont"/>
          <w:sz w:val="22"/>
          <w:szCs w:val="22"/>
        </w:rPr>
        <w:t xml:space="preserve">Although </w:t>
      </w:r>
      <w:r w:rsidR="006D06DB" w:rsidRPr="00AD18AA">
        <w:rPr>
          <w:rFonts w:ascii="Garamond" w:hAnsi="Garamond" w:cs="AppleSystemUIFont"/>
          <w:sz w:val="22"/>
          <w:szCs w:val="22"/>
        </w:rPr>
        <w:t xml:space="preserve">the opinion may have somewhat gutted the </w:t>
      </w:r>
      <w:r w:rsidR="006D06DB" w:rsidRPr="00A557D3">
        <w:rPr>
          <w:rFonts w:ascii="Garamond" w:hAnsi="Garamond" w:cs="AppleSystemUIFont"/>
          <w:i/>
          <w:sz w:val="22"/>
          <w:szCs w:val="22"/>
        </w:rPr>
        <w:t>Miller</w:t>
      </w:r>
      <w:r w:rsidR="006D06DB" w:rsidRPr="00AD18AA">
        <w:rPr>
          <w:rFonts w:ascii="Garamond" w:hAnsi="Garamond" w:cs="AppleSystemUIFont"/>
          <w:sz w:val="22"/>
          <w:szCs w:val="22"/>
        </w:rPr>
        <w:t xml:space="preserve"> holding (see Justice Kagan’s dissent in </w:t>
      </w:r>
      <w:r w:rsidR="006D06DB" w:rsidRPr="00A557D3">
        <w:rPr>
          <w:rFonts w:ascii="Garamond" w:hAnsi="Garamond" w:cs="AppleSystemUIFont"/>
          <w:i/>
          <w:sz w:val="22"/>
          <w:szCs w:val="22"/>
        </w:rPr>
        <w:t>Jones</w:t>
      </w:r>
      <w:r w:rsidR="00A557D3">
        <w:rPr>
          <w:rFonts w:ascii="Garamond" w:hAnsi="Garamond" w:cs="AppleSystemUIFont"/>
          <w:sz w:val="22"/>
          <w:szCs w:val="22"/>
        </w:rPr>
        <w:t xml:space="preserve">), </w:t>
      </w:r>
      <w:r w:rsidR="006D06DB" w:rsidRPr="00AD18AA">
        <w:rPr>
          <w:rFonts w:ascii="Garamond" w:hAnsi="Garamond" w:cs="AppleSystemUIFont"/>
          <w:sz w:val="22"/>
          <w:szCs w:val="22"/>
        </w:rPr>
        <w:t>it should not deter us from advocating for our juvenile clients</w:t>
      </w:r>
      <w:r w:rsidR="00A557D3">
        <w:rPr>
          <w:rFonts w:ascii="Garamond" w:hAnsi="Garamond" w:cs="AppleSystemUIFont"/>
          <w:sz w:val="22"/>
          <w:szCs w:val="22"/>
        </w:rPr>
        <w:t>. The science continues to show they</w:t>
      </w:r>
      <w:r w:rsidR="006D06DB" w:rsidRPr="00AD18AA">
        <w:rPr>
          <w:rFonts w:ascii="Garamond" w:hAnsi="Garamond" w:cs="AppleSystemUIFont"/>
          <w:sz w:val="22"/>
          <w:szCs w:val="22"/>
        </w:rPr>
        <w:t xml:space="preserve"> have less re</w:t>
      </w:r>
      <w:r w:rsidR="00A557D3">
        <w:rPr>
          <w:rFonts w:ascii="Garamond" w:hAnsi="Garamond" w:cs="AppleSystemUIFont"/>
          <w:sz w:val="22"/>
          <w:szCs w:val="22"/>
        </w:rPr>
        <w:t>sponsibility and should be sentenced with this in mind</w:t>
      </w:r>
      <w:r w:rsidR="006D06DB" w:rsidRPr="00AD18AA">
        <w:rPr>
          <w:rFonts w:ascii="Garamond" w:hAnsi="Garamond" w:cs="AppleSystemUIFont"/>
          <w:sz w:val="22"/>
          <w:szCs w:val="22"/>
        </w:rPr>
        <w:t>.</w:t>
      </w:r>
    </w:p>
  </w:footnote>
  <w:footnote w:id="40">
    <w:p w14:paraId="117B3B16" w14:textId="123B719E" w:rsidR="008F791F" w:rsidRPr="00AD18AA" w:rsidRDefault="008F791F" w:rsidP="008F791F">
      <w:pPr>
        <w:pStyle w:val="FootnoteText"/>
        <w:rPr>
          <w:rFonts w:ascii="Garamond" w:hAnsi="Garamond"/>
          <w:sz w:val="22"/>
          <w:szCs w:val="22"/>
        </w:rPr>
      </w:pPr>
      <w:r w:rsidRPr="00AD18AA">
        <w:rPr>
          <w:rStyle w:val="FootnoteReference"/>
          <w:rFonts w:ascii="Garamond" w:hAnsi="Garamond"/>
          <w:sz w:val="22"/>
          <w:szCs w:val="22"/>
        </w:rPr>
        <w:footnoteRef/>
      </w:r>
      <w:r w:rsidRPr="00AD18AA">
        <w:rPr>
          <w:rFonts w:ascii="Garamond" w:hAnsi="Garamond"/>
          <w:sz w:val="22"/>
          <w:szCs w:val="22"/>
        </w:rPr>
        <w:t xml:space="preserve"> The U.S. Supreme Court’s opinions included reference to: (1) </w:t>
      </w:r>
      <w:r w:rsidRPr="00AD18AA">
        <w:rPr>
          <w:rFonts w:ascii="Garamond" w:hAnsi="Garamond" w:cs="AppleSystemUIFont"/>
          <w:sz w:val="22"/>
          <w:szCs w:val="22"/>
        </w:rPr>
        <w:t>quoting Steinberg &amp; Scott, Less Guilty by Reason of Adolescence: Developmental Immaturity, Diminished Responsibility, and the Juvenile Death Penalty, 58 Am. Psychologist 1009, 1014 (2003)).</w:t>
      </w:r>
      <w:r w:rsidR="007E3953" w:rsidRPr="00AD18AA">
        <w:rPr>
          <w:rFonts w:ascii="Garamond" w:hAnsi="Garamond" w:cs="AppleSystemUIFont"/>
          <w:sz w:val="22"/>
          <w:szCs w:val="22"/>
        </w:rPr>
        <w:t xml:space="preserve"> It is also interesting to note the United States Supreme Court’s reference to “common sense.” </w:t>
      </w:r>
    </w:p>
  </w:footnote>
  <w:footnote w:id="41">
    <w:p w14:paraId="3F967164" w14:textId="77777777" w:rsidR="008F791F" w:rsidRPr="00AD18AA" w:rsidRDefault="008F791F" w:rsidP="008F791F">
      <w:pPr>
        <w:pStyle w:val="FootnoteText"/>
        <w:rPr>
          <w:rFonts w:ascii="Garamond" w:hAnsi="Garamond"/>
          <w:sz w:val="22"/>
          <w:szCs w:val="22"/>
        </w:rPr>
      </w:pPr>
      <w:r w:rsidRPr="00AD18AA">
        <w:rPr>
          <w:rStyle w:val="FootnoteReference"/>
          <w:rFonts w:ascii="Garamond" w:hAnsi="Garamond"/>
          <w:sz w:val="22"/>
          <w:szCs w:val="22"/>
        </w:rPr>
        <w:footnoteRef/>
      </w:r>
      <w:r w:rsidRPr="00AD18AA">
        <w:rPr>
          <w:rFonts w:ascii="Garamond" w:hAnsi="Garamond"/>
          <w:sz w:val="22"/>
          <w:szCs w:val="22"/>
        </w:rPr>
        <w:t xml:space="preserve"> Common sense is everywhere, it seems.</w:t>
      </w:r>
    </w:p>
  </w:footnote>
  <w:footnote w:id="42">
    <w:p w14:paraId="0988DE3A" w14:textId="77777777" w:rsidR="00954A2E" w:rsidRPr="00AD18AA" w:rsidRDefault="00954A2E">
      <w:pPr>
        <w:pStyle w:val="FootnoteText"/>
        <w:rPr>
          <w:rFonts w:ascii="Garamond" w:hAnsi="Garamond"/>
          <w:sz w:val="22"/>
          <w:szCs w:val="22"/>
        </w:rPr>
      </w:pPr>
      <w:r w:rsidRPr="00AD18AA">
        <w:rPr>
          <w:rStyle w:val="FootnoteReference"/>
          <w:rFonts w:ascii="Garamond" w:hAnsi="Garamond"/>
          <w:sz w:val="22"/>
          <w:szCs w:val="22"/>
        </w:rPr>
        <w:footnoteRef/>
      </w:r>
      <w:r w:rsidRPr="00AD18AA">
        <w:rPr>
          <w:rFonts w:ascii="Garamond" w:hAnsi="Garamond"/>
          <w:sz w:val="22"/>
          <w:szCs w:val="22"/>
        </w:rPr>
        <w:t xml:space="preserve"> Okay, so maybe the courts aren’t as bad on conversational implicature as we made out. </w:t>
      </w:r>
    </w:p>
  </w:footnote>
  <w:footnote w:id="43">
    <w:p w14:paraId="62C202D4" w14:textId="77777777" w:rsidR="008F791F" w:rsidRPr="00AD18AA" w:rsidRDefault="008F791F" w:rsidP="008F791F">
      <w:pPr>
        <w:pStyle w:val="FootnoteText"/>
        <w:rPr>
          <w:rFonts w:ascii="Garamond" w:hAnsi="Garamond"/>
          <w:sz w:val="22"/>
          <w:szCs w:val="22"/>
        </w:rPr>
      </w:pPr>
      <w:r w:rsidRPr="00AD18AA">
        <w:rPr>
          <w:rStyle w:val="FootnoteReference"/>
          <w:rFonts w:ascii="Garamond" w:hAnsi="Garamond"/>
          <w:sz w:val="22"/>
          <w:szCs w:val="22"/>
        </w:rPr>
        <w:footnoteRef/>
      </w:r>
      <w:r w:rsidRPr="00AD18AA">
        <w:rPr>
          <w:rFonts w:ascii="Garamond" w:hAnsi="Garamond"/>
          <w:sz w:val="22"/>
          <w:szCs w:val="22"/>
        </w:rPr>
        <w:t xml:space="preserve"> Senate Bill No. 494, on the Governer’s desk as of September 14, 2021, abrogates police use of the Reid Technique. The bill’s text makes some researched statements on the ineffectiveness and dangers of such harsh interrogation techniques. </w:t>
      </w:r>
    </w:p>
  </w:footnote>
  <w:footnote w:id="44">
    <w:p w14:paraId="12B84FE3" w14:textId="77777777" w:rsidR="00713DEC" w:rsidRPr="00AD18AA" w:rsidRDefault="00713DEC" w:rsidP="00713DEC">
      <w:pPr>
        <w:pStyle w:val="FootnoteText"/>
        <w:rPr>
          <w:rFonts w:ascii="Garamond" w:hAnsi="Garamond"/>
          <w:sz w:val="22"/>
          <w:szCs w:val="22"/>
        </w:rPr>
      </w:pPr>
      <w:r w:rsidRPr="00AD18AA">
        <w:rPr>
          <w:rStyle w:val="FootnoteReference"/>
          <w:rFonts w:ascii="Garamond" w:hAnsi="Garamond"/>
          <w:sz w:val="22"/>
          <w:szCs w:val="22"/>
        </w:rPr>
        <w:footnoteRef/>
      </w:r>
      <w:r w:rsidRPr="00AD18AA">
        <w:rPr>
          <w:rFonts w:ascii="Garamond" w:hAnsi="Garamond"/>
          <w:sz w:val="22"/>
          <w:szCs w:val="22"/>
        </w:rPr>
        <w:t xml:space="preserve"> With thanks to Michael C. Sampson for his contribution to this article. </w:t>
      </w:r>
    </w:p>
  </w:footnote>
  <w:footnote w:id="45">
    <w:p w14:paraId="47F35BDA" w14:textId="77777777" w:rsidR="00916D6F" w:rsidRPr="00AD18AA" w:rsidRDefault="00916D6F">
      <w:pPr>
        <w:pStyle w:val="FootnoteText"/>
        <w:rPr>
          <w:rFonts w:ascii="Garamond" w:hAnsi="Garamond"/>
          <w:sz w:val="22"/>
          <w:szCs w:val="22"/>
        </w:rPr>
      </w:pPr>
      <w:r w:rsidRPr="00AD18AA">
        <w:rPr>
          <w:rStyle w:val="FootnoteReference"/>
          <w:rFonts w:ascii="Garamond" w:hAnsi="Garamond"/>
          <w:sz w:val="22"/>
          <w:szCs w:val="22"/>
        </w:rPr>
        <w:footnoteRef/>
      </w:r>
      <w:r w:rsidRPr="00AD18AA">
        <w:rPr>
          <w:rFonts w:ascii="Garamond" w:hAnsi="Garamond"/>
          <w:sz w:val="22"/>
          <w:szCs w:val="22"/>
        </w:rPr>
        <w:t xml:space="preserve"> </w:t>
      </w:r>
      <w:r w:rsidRPr="00AD18AA">
        <w:rPr>
          <w:rFonts w:ascii="Garamond" w:hAnsi="Garamond"/>
          <w:sz w:val="22"/>
          <w:szCs w:val="22"/>
        </w:rPr>
        <w:t xml:space="preserve">Brensike Primus, </w:t>
      </w:r>
      <w:r w:rsidRPr="00AD18AA">
        <w:rPr>
          <w:rStyle w:val="Hyperlink"/>
          <w:rFonts w:ascii="Garamond" w:hAnsi="Garamond" w:cs="AppleSystemUIFont"/>
          <w:i/>
          <w:color w:val="auto"/>
          <w:sz w:val="22"/>
          <w:szCs w:val="22"/>
          <w:u w:val="none"/>
        </w:rPr>
        <w:t>Incorporating Social Science into Criminal Defense Practice</w:t>
      </w:r>
      <w:r w:rsidRPr="00AD18AA">
        <w:rPr>
          <w:rFonts w:ascii="Garamond" w:hAnsi="Garamond"/>
          <w:sz w:val="22"/>
          <w:szCs w:val="22"/>
        </w:rPr>
        <w:t>, The Champion, p. 40 (November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8498A"/>
    <w:multiLevelType w:val="hybridMultilevel"/>
    <w:tmpl w:val="2CF410B8"/>
    <w:lvl w:ilvl="0" w:tplc="F51CF15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F94FE5"/>
    <w:multiLevelType w:val="hybridMultilevel"/>
    <w:tmpl w:val="73A64A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7C551E"/>
    <w:multiLevelType w:val="hybridMultilevel"/>
    <w:tmpl w:val="2B5011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FE400A"/>
    <w:multiLevelType w:val="hybridMultilevel"/>
    <w:tmpl w:val="051C4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3967FF"/>
    <w:multiLevelType w:val="hybridMultilevel"/>
    <w:tmpl w:val="D8BE8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B9288B"/>
    <w:multiLevelType w:val="hybridMultilevel"/>
    <w:tmpl w:val="01A44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FB39FA"/>
    <w:multiLevelType w:val="hybridMultilevel"/>
    <w:tmpl w:val="C9CAC4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26F6C0E"/>
    <w:multiLevelType w:val="hybridMultilevel"/>
    <w:tmpl w:val="552A9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7"/>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721"/>
    <w:rsid w:val="000046E3"/>
    <w:rsid w:val="00010FB6"/>
    <w:rsid w:val="00056D1F"/>
    <w:rsid w:val="00072A8A"/>
    <w:rsid w:val="00085B7A"/>
    <w:rsid w:val="0009248F"/>
    <w:rsid w:val="000A300C"/>
    <w:rsid w:val="00100811"/>
    <w:rsid w:val="00113BA2"/>
    <w:rsid w:val="0011792A"/>
    <w:rsid w:val="001307FC"/>
    <w:rsid w:val="00144DF5"/>
    <w:rsid w:val="001461B6"/>
    <w:rsid w:val="0016022C"/>
    <w:rsid w:val="00160E5A"/>
    <w:rsid w:val="00173346"/>
    <w:rsid w:val="001803B6"/>
    <w:rsid w:val="0019230D"/>
    <w:rsid w:val="001E2639"/>
    <w:rsid w:val="001E6458"/>
    <w:rsid w:val="00203D62"/>
    <w:rsid w:val="0020614F"/>
    <w:rsid w:val="00227509"/>
    <w:rsid w:val="002506C5"/>
    <w:rsid w:val="00255148"/>
    <w:rsid w:val="002607B5"/>
    <w:rsid w:val="0026713E"/>
    <w:rsid w:val="00270E09"/>
    <w:rsid w:val="002854D4"/>
    <w:rsid w:val="0029375F"/>
    <w:rsid w:val="00297AD2"/>
    <w:rsid w:val="002A4A07"/>
    <w:rsid w:val="002A5AF2"/>
    <w:rsid w:val="002B776A"/>
    <w:rsid w:val="002D65A9"/>
    <w:rsid w:val="002E4630"/>
    <w:rsid w:val="002F4A80"/>
    <w:rsid w:val="00305974"/>
    <w:rsid w:val="00311F9B"/>
    <w:rsid w:val="00327832"/>
    <w:rsid w:val="00344B19"/>
    <w:rsid w:val="003B14ED"/>
    <w:rsid w:val="003B3D53"/>
    <w:rsid w:val="003C4923"/>
    <w:rsid w:val="003F230C"/>
    <w:rsid w:val="0042608E"/>
    <w:rsid w:val="0044309A"/>
    <w:rsid w:val="004459F5"/>
    <w:rsid w:val="00452D39"/>
    <w:rsid w:val="004743A8"/>
    <w:rsid w:val="004A0777"/>
    <w:rsid w:val="004B3F41"/>
    <w:rsid w:val="004D6462"/>
    <w:rsid w:val="004D79CC"/>
    <w:rsid w:val="004F1993"/>
    <w:rsid w:val="004F3D68"/>
    <w:rsid w:val="00516695"/>
    <w:rsid w:val="00563C39"/>
    <w:rsid w:val="0058364C"/>
    <w:rsid w:val="00585F5A"/>
    <w:rsid w:val="005C0B5B"/>
    <w:rsid w:val="005E6F77"/>
    <w:rsid w:val="005F0419"/>
    <w:rsid w:val="00661DB3"/>
    <w:rsid w:val="00664451"/>
    <w:rsid w:val="006742BE"/>
    <w:rsid w:val="00675F53"/>
    <w:rsid w:val="0069672C"/>
    <w:rsid w:val="006D06DB"/>
    <w:rsid w:val="007060EF"/>
    <w:rsid w:val="00713DEC"/>
    <w:rsid w:val="00724C3A"/>
    <w:rsid w:val="00726326"/>
    <w:rsid w:val="00740BC4"/>
    <w:rsid w:val="007412B3"/>
    <w:rsid w:val="00743703"/>
    <w:rsid w:val="007664F2"/>
    <w:rsid w:val="00766B65"/>
    <w:rsid w:val="00791899"/>
    <w:rsid w:val="007B3955"/>
    <w:rsid w:val="007B7E39"/>
    <w:rsid w:val="007E3953"/>
    <w:rsid w:val="00817495"/>
    <w:rsid w:val="00825DF7"/>
    <w:rsid w:val="00835B44"/>
    <w:rsid w:val="00850016"/>
    <w:rsid w:val="0085640D"/>
    <w:rsid w:val="008961D0"/>
    <w:rsid w:val="0089671D"/>
    <w:rsid w:val="008B3619"/>
    <w:rsid w:val="008D4693"/>
    <w:rsid w:val="008E6F68"/>
    <w:rsid w:val="008F7508"/>
    <w:rsid w:val="008F791F"/>
    <w:rsid w:val="00916D6F"/>
    <w:rsid w:val="0092395D"/>
    <w:rsid w:val="00923B8D"/>
    <w:rsid w:val="00927D48"/>
    <w:rsid w:val="00931555"/>
    <w:rsid w:val="00932E2A"/>
    <w:rsid w:val="00954A2E"/>
    <w:rsid w:val="00966427"/>
    <w:rsid w:val="0097226C"/>
    <w:rsid w:val="00974391"/>
    <w:rsid w:val="009850E7"/>
    <w:rsid w:val="009917C0"/>
    <w:rsid w:val="009A7700"/>
    <w:rsid w:val="009D59E3"/>
    <w:rsid w:val="00A00721"/>
    <w:rsid w:val="00A11A9D"/>
    <w:rsid w:val="00A13DA0"/>
    <w:rsid w:val="00A33873"/>
    <w:rsid w:val="00A557D3"/>
    <w:rsid w:val="00A66803"/>
    <w:rsid w:val="00A85289"/>
    <w:rsid w:val="00A9572B"/>
    <w:rsid w:val="00AA7EA1"/>
    <w:rsid w:val="00AC0011"/>
    <w:rsid w:val="00AD18AA"/>
    <w:rsid w:val="00AE380E"/>
    <w:rsid w:val="00B05647"/>
    <w:rsid w:val="00B16DF5"/>
    <w:rsid w:val="00B5708C"/>
    <w:rsid w:val="00B709A6"/>
    <w:rsid w:val="00B959B8"/>
    <w:rsid w:val="00BA203B"/>
    <w:rsid w:val="00BB10F8"/>
    <w:rsid w:val="00BB26DD"/>
    <w:rsid w:val="00BB717A"/>
    <w:rsid w:val="00BC74E6"/>
    <w:rsid w:val="00BD67A2"/>
    <w:rsid w:val="00C05666"/>
    <w:rsid w:val="00C15221"/>
    <w:rsid w:val="00C20EA2"/>
    <w:rsid w:val="00C474EE"/>
    <w:rsid w:val="00C52230"/>
    <w:rsid w:val="00C64CDF"/>
    <w:rsid w:val="00CB06C7"/>
    <w:rsid w:val="00CD7442"/>
    <w:rsid w:val="00CD78C1"/>
    <w:rsid w:val="00D07BF5"/>
    <w:rsid w:val="00D37CE8"/>
    <w:rsid w:val="00D70285"/>
    <w:rsid w:val="00D777AF"/>
    <w:rsid w:val="00D90E62"/>
    <w:rsid w:val="00DD0B31"/>
    <w:rsid w:val="00DD1299"/>
    <w:rsid w:val="00E16691"/>
    <w:rsid w:val="00E26098"/>
    <w:rsid w:val="00E451EF"/>
    <w:rsid w:val="00E637E4"/>
    <w:rsid w:val="00E66049"/>
    <w:rsid w:val="00E731BF"/>
    <w:rsid w:val="00E736C2"/>
    <w:rsid w:val="00E94165"/>
    <w:rsid w:val="00EB706E"/>
    <w:rsid w:val="00ED461F"/>
    <w:rsid w:val="00F07AC3"/>
    <w:rsid w:val="00F54D3F"/>
    <w:rsid w:val="00F70229"/>
    <w:rsid w:val="00F95E4E"/>
    <w:rsid w:val="00FA5977"/>
    <w:rsid w:val="00FB1DD0"/>
    <w:rsid w:val="00FB6EA5"/>
    <w:rsid w:val="00FD7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697FD"/>
  <w15:docId w15:val="{781FCE24-0E3E-4196-BBFA-E4848458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B776A"/>
    <w:pPr>
      <w:keepNext/>
      <w:widowControl w:val="0"/>
      <w:autoSpaceDE w:val="0"/>
      <w:autoSpaceDN w:val="0"/>
      <w:adjustRightInd w:val="0"/>
      <w:spacing w:after="0" w:line="240" w:lineRule="auto"/>
      <w:jc w:val="center"/>
      <w:outlineLvl w:val="0"/>
    </w:pPr>
    <w:rPr>
      <w:rFonts w:ascii="Century Schoolbook" w:eastAsia="Times New Roman" w:hAnsi="Century Schoolbook" w:cs="Arial"/>
      <w:b/>
      <w:bCs/>
      <w:caps/>
      <w:kern w:val="3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007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0721"/>
    <w:rPr>
      <w:sz w:val="20"/>
      <w:szCs w:val="20"/>
    </w:rPr>
  </w:style>
  <w:style w:type="character" w:styleId="FootnoteReference">
    <w:name w:val="footnote reference"/>
    <w:basedOn w:val="DefaultParagraphFont"/>
    <w:uiPriority w:val="99"/>
    <w:semiHidden/>
    <w:unhideWhenUsed/>
    <w:rsid w:val="00A00721"/>
    <w:rPr>
      <w:vertAlign w:val="superscript"/>
    </w:rPr>
  </w:style>
  <w:style w:type="paragraph" w:styleId="ListParagraph">
    <w:name w:val="List Paragraph"/>
    <w:basedOn w:val="Normal"/>
    <w:uiPriority w:val="34"/>
    <w:qFormat/>
    <w:rsid w:val="00563C39"/>
    <w:pPr>
      <w:ind w:left="720"/>
      <w:contextualSpacing/>
    </w:pPr>
  </w:style>
  <w:style w:type="paragraph" w:styleId="BalloonText">
    <w:name w:val="Balloon Text"/>
    <w:basedOn w:val="Normal"/>
    <w:link w:val="BalloonTextChar"/>
    <w:uiPriority w:val="99"/>
    <w:semiHidden/>
    <w:unhideWhenUsed/>
    <w:rsid w:val="001602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22C"/>
    <w:rPr>
      <w:rFonts w:ascii="Tahoma" w:hAnsi="Tahoma" w:cs="Tahoma"/>
      <w:sz w:val="16"/>
      <w:szCs w:val="16"/>
    </w:rPr>
  </w:style>
  <w:style w:type="character" w:customStyle="1" w:styleId="ssleftalign">
    <w:name w:val="ss_leftalign"/>
    <w:basedOn w:val="DefaultParagraphFont"/>
    <w:rsid w:val="00C52230"/>
  </w:style>
  <w:style w:type="character" w:customStyle="1" w:styleId="ssrfcpassagedeactivated">
    <w:name w:val="ss_rfcpassage_deactivated"/>
    <w:basedOn w:val="DefaultParagraphFont"/>
    <w:rsid w:val="00C52230"/>
  </w:style>
  <w:style w:type="character" w:styleId="Hyperlink">
    <w:name w:val="Hyperlink"/>
    <w:basedOn w:val="DefaultParagraphFont"/>
    <w:uiPriority w:val="99"/>
    <w:unhideWhenUsed/>
    <w:rsid w:val="00E26098"/>
    <w:rPr>
      <w:color w:val="0000FF" w:themeColor="hyperlink"/>
      <w:u w:val="single"/>
    </w:rPr>
  </w:style>
  <w:style w:type="paragraph" w:styleId="Header">
    <w:name w:val="header"/>
    <w:basedOn w:val="Normal"/>
    <w:link w:val="HeaderChar"/>
    <w:uiPriority w:val="99"/>
    <w:unhideWhenUsed/>
    <w:rsid w:val="00092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48F"/>
  </w:style>
  <w:style w:type="paragraph" w:styleId="Footer">
    <w:name w:val="footer"/>
    <w:basedOn w:val="Normal"/>
    <w:link w:val="FooterChar"/>
    <w:uiPriority w:val="99"/>
    <w:unhideWhenUsed/>
    <w:rsid w:val="00092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48F"/>
  </w:style>
  <w:style w:type="character" w:customStyle="1" w:styleId="ssrfcsection">
    <w:name w:val="ss_rfcsection"/>
    <w:basedOn w:val="DefaultParagraphFont"/>
    <w:rsid w:val="00C64CDF"/>
  </w:style>
  <w:style w:type="character" w:customStyle="1" w:styleId="ssit">
    <w:name w:val="ss_it"/>
    <w:basedOn w:val="DefaultParagraphFont"/>
    <w:rsid w:val="00C64CDF"/>
  </w:style>
  <w:style w:type="character" w:customStyle="1" w:styleId="sh498158737">
    <w:name w:val="sh_498158737"/>
    <w:basedOn w:val="DefaultParagraphFont"/>
    <w:rsid w:val="00C64CDF"/>
  </w:style>
  <w:style w:type="character" w:customStyle="1" w:styleId="Heading1Char">
    <w:name w:val="Heading 1 Char"/>
    <w:basedOn w:val="DefaultParagraphFont"/>
    <w:link w:val="Heading1"/>
    <w:rsid w:val="002B776A"/>
    <w:rPr>
      <w:rFonts w:ascii="Century Schoolbook" w:eastAsia="Times New Roman" w:hAnsi="Century Schoolbook" w:cs="Arial"/>
      <w:b/>
      <w:bCs/>
      <w:caps/>
      <w:kern w:val="32"/>
      <w:sz w:val="26"/>
      <w:szCs w:val="26"/>
    </w:rPr>
  </w:style>
  <w:style w:type="paragraph" w:styleId="TOC1">
    <w:name w:val="toc 1"/>
    <w:basedOn w:val="Normal"/>
    <w:next w:val="Normal"/>
    <w:autoRedefine/>
    <w:uiPriority w:val="39"/>
    <w:rsid w:val="009A7700"/>
    <w:pPr>
      <w:widowControl w:val="0"/>
      <w:autoSpaceDE w:val="0"/>
      <w:autoSpaceDN w:val="0"/>
      <w:adjustRightInd w:val="0"/>
      <w:spacing w:after="240" w:line="240" w:lineRule="auto"/>
    </w:pPr>
    <w:rPr>
      <w:rFonts w:ascii="Garamond" w:eastAsia="Times New Roman" w:hAnsi="Garamond" w:cs="Times New Roman"/>
      <w:cap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8312">
      <w:bodyDiv w:val="1"/>
      <w:marLeft w:val="0"/>
      <w:marRight w:val="0"/>
      <w:marTop w:val="0"/>
      <w:marBottom w:val="0"/>
      <w:divBdr>
        <w:top w:val="none" w:sz="0" w:space="0" w:color="auto"/>
        <w:left w:val="none" w:sz="0" w:space="0" w:color="auto"/>
        <w:bottom w:val="none" w:sz="0" w:space="0" w:color="auto"/>
        <w:right w:val="none" w:sz="0" w:space="0" w:color="auto"/>
      </w:divBdr>
      <w:divsChild>
        <w:div w:id="2075394562">
          <w:marLeft w:val="0"/>
          <w:marRight w:val="0"/>
          <w:marTop w:val="0"/>
          <w:marBottom w:val="0"/>
          <w:divBdr>
            <w:top w:val="none" w:sz="0" w:space="0" w:color="auto"/>
            <w:left w:val="none" w:sz="0" w:space="0" w:color="auto"/>
            <w:bottom w:val="none" w:sz="0" w:space="0" w:color="auto"/>
            <w:right w:val="none" w:sz="0" w:space="0" w:color="auto"/>
          </w:divBdr>
        </w:div>
      </w:divsChild>
    </w:div>
    <w:div w:id="252323679">
      <w:bodyDiv w:val="1"/>
      <w:marLeft w:val="0"/>
      <w:marRight w:val="0"/>
      <w:marTop w:val="0"/>
      <w:marBottom w:val="0"/>
      <w:divBdr>
        <w:top w:val="none" w:sz="0" w:space="0" w:color="auto"/>
        <w:left w:val="none" w:sz="0" w:space="0" w:color="auto"/>
        <w:bottom w:val="none" w:sz="0" w:space="0" w:color="auto"/>
        <w:right w:val="none" w:sz="0" w:space="0" w:color="auto"/>
      </w:divBdr>
    </w:div>
    <w:div w:id="332611443">
      <w:bodyDiv w:val="1"/>
      <w:marLeft w:val="0"/>
      <w:marRight w:val="0"/>
      <w:marTop w:val="0"/>
      <w:marBottom w:val="0"/>
      <w:divBdr>
        <w:top w:val="none" w:sz="0" w:space="0" w:color="auto"/>
        <w:left w:val="none" w:sz="0" w:space="0" w:color="auto"/>
        <w:bottom w:val="none" w:sz="0" w:space="0" w:color="auto"/>
        <w:right w:val="none" w:sz="0" w:space="0" w:color="auto"/>
      </w:divBdr>
    </w:div>
    <w:div w:id="346716322">
      <w:bodyDiv w:val="1"/>
      <w:marLeft w:val="0"/>
      <w:marRight w:val="0"/>
      <w:marTop w:val="0"/>
      <w:marBottom w:val="0"/>
      <w:divBdr>
        <w:top w:val="none" w:sz="0" w:space="0" w:color="auto"/>
        <w:left w:val="none" w:sz="0" w:space="0" w:color="auto"/>
        <w:bottom w:val="none" w:sz="0" w:space="0" w:color="auto"/>
        <w:right w:val="none" w:sz="0" w:space="0" w:color="auto"/>
      </w:divBdr>
    </w:div>
    <w:div w:id="451637311">
      <w:bodyDiv w:val="1"/>
      <w:marLeft w:val="0"/>
      <w:marRight w:val="0"/>
      <w:marTop w:val="0"/>
      <w:marBottom w:val="0"/>
      <w:divBdr>
        <w:top w:val="none" w:sz="0" w:space="0" w:color="auto"/>
        <w:left w:val="none" w:sz="0" w:space="0" w:color="auto"/>
        <w:bottom w:val="none" w:sz="0" w:space="0" w:color="auto"/>
        <w:right w:val="none" w:sz="0" w:space="0" w:color="auto"/>
      </w:divBdr>
    </w:div>
    <w:div w:id="462164110">
      <w:bodyDiv w:val="1"/>
      <w:marLeft w:val="0"/>
      <w:marRight w:val="0"/>
      <w:marTop w:val="0"/>
      <w:marBottom w:val="0"/>
      <w:divBdr>
        <w:top w:val="none" w:sz="0" w:space="0" w:color="auto"/>
        <w:left w:val="none" w:sz="0" w:space="0" w:color="auto"/>
        <w:bottom w:val="none" w:sz="0" w:space="0" w:color="auto"/>
        <w:right w:val="none" w:sz="0" w:space="0" w:color="auto"/>
      </w:divBdr>
    </w:div>
    <w:div w:id="469128506">
      <w:bodyDiv w:val="1"/>
      <w:marLeft w:val="0"/>
      <w:marRight w:val="0"/>
      <w:marTop w:val="0"/>
      <w:marBottom w:val="0"/>
      <w:divBdr>
        <w:top w:val="none" w:sz="0" w:space="0" w:color="auto"/>
        <w:left w:val="none" w:sz="0" w:space="0" w:color="auto"/>
        <w:bottom w:val="none" w:sz="0" w:space="0" w:color="auto"/>
        <w:right w:val="none" w:sz="0" w:space="0" w:color="auto"/>
      </w:divBdr>
    </w:div>
    <w:div w:id="485509416">
      <w:bodyDiv w:val="1"/>
      <w:marLeft w:val="0"/>
      <w:marRight w:val="0"/>
      <w:marTop w:val="0"/>
      <w:marBottom w:val="0"/>
      <w:divBdr>
        <w:top w:val="none" w:sz="0" w:space="0" w:color="auto"/>
        <w:left w:val="none" w:sz="0" w:space="0" w:color="auto"/>
        <w:bottom w:val="none" w:sz="0" w:space="0" w:color="auto"/>
        <w:right w:val="none" w:sz="0" w:space="0" w:color="auto"/>
      </w:divBdr>
    </w:div>
    <w:div w:id="568617663">
      <w:bodyDiv w:val="1"/>
      <w:marLeft w:val="0"/>
      <w:marRight w:val="0"/>
      <w:marTop w:val="0"/>
      <w:marBottom w:val="0"/>
      <w:divBdr>
        <w:top w:val="none" w:sz="0" w:space="0" w:color="auto"/>
        <w:left w:val="none" w:sz="0" w:space="0" w:color="auto"/>
        <w:bottom w:val="none" w:sz="0" w:space="0" w:color="auto"/>
        <w:right w:val="none" w:sz="0" w:space="0" w:color="auto"/>
      </w:divBdr>
    </w:div>
    <w:div w:id="766853460">
      <w:bodyDiv w:val="1"/>
      <w:marLeft w:val="0"/>
      <w:marRight w:val="0"/>
      <w:marTop w:val="0"/>
      <w:marBottom w:val="0"/>
      <w:divBdr>
        <w:top w:val="none" w:sz="0" w:space="0" w:color="auto"/>
        <w:left w:val="none" w:sz="0" w:space="0" w:color="auto"/>
        <w:bottom w:val="none" w:sz="0" w:space="0" w:color="auto"/>
        <w:right w:val="none" w:sz="0" w:space="0" w:color="auto"/>
      </w:divBdr>
    </w:div>
    <w:div w:id="797645275">
      <w:bodyDiv w:val="1"/>
      <w:marLeft w:val="0"/>
      <w:marRight w:val="0"/>
      <w:marTop w:val="0"/>
      <w:marBottom w:val="0"/>
      <w:divBdr>
        <w:top w:val="none" w:sz="0" w:space="0" w:color="auto"/>
        <w:left w:val="none" w:sz="0" w:space="0" w:color="auto"/>
        <w:bottom w:val="none" w:sz="0" w:space="0" w:color="auto"/>
        <w:right w:val="none" w:sz="0" w:space="0" w:color="auto"/>
      </w:divBdr>
    </w:div>
    <w:div w:id="830949550">
      <w:bodyDiv w:val="1"/>
      <w:marLeft w:val="0"/>
      <w:marRight w:val="0"/>
      <w:marTop w:val="0"/>
      <w:marBottom w:val="0"/>
      <w:divBdr>
        <w:top w:val="none" w:sz="0" w:space="0" w:color="auto"/>
        <w:left w:val="none" w:sz="0" w:space="0" w:color="auto"/>
        <w:bottom w:val="none" w:sz="0" w:space="0" w:color="auto"/>
        <w:right w:val="none" w:sz="0" w:space="0" w:color="auto"/>
      </w:divBdr>
    </w:div>
    <w:div w:id="861044205">
      <w:bodyDiv w:val="1"/>
      <w:marLeft w:val="0"/>
      <w:marRight w:val="0"/>
      <w:marTop w:val="0"/>
      <w:marBottom w:val="0"/>
      <w:divBdr>
        <w:top w:val="none" w:sz="0" w:space="0" w:color="auto"/>
        <w:left w:val="none" w:sz="0" w:space="0" w:color="auto"/>
        <w:bottom w:val="none" w:sz="0" w:space="0" w:color="auto"/>
        <w:right w:val="none" w:sz="0" w:space="0" w:color="auto"/>
      </w:divBdr>
    </w:div>
    <w:div w:id="929973390">
      <w:bodyDiv w:val="1"/>
      <w:marLeft w:val="0"/>
      <w:marRight w:val="0"/>
      <w:marTop w:val="0"/>
      <w:marBottom w:val="0"/>
      <w:divBdr>
        <w:top w:val="none" w:sz="0" w:space="0" w:color="auto"/>
        <w:left w:val="none" w:sz="0" w:space="0" w:color="auto"/>
        <w:bottom w:val="none" w:sz="0" w:space="0" w:color="auto"/>
        <w:right w:val="none" w:sz="0" w:space="0" w:color="auto"/>
      </w:divBdr>
    </w:div>
    <w:div w:id="958679368">
      <w:bodyDiv w:val="1"/>
      <w:marLeft w:val="0"/>
      <w:marRight w:val="0"/>
      <w:marTop w:val="0"/>
      <w:marBottom w:val="0"/>
      <w:divBdr>
        <w:top w:val="none" w:sz="0" w:space="0" w:color="auto"/>
        <w:left w:val="none" w:sz="0" w:space="0" w:color="auto"/>
        <w:bottom w:val="none" w:sz="0" w:space="0" w:color="auto"/>
        <w:right w:val="none" w:sz="0" w:space="0" w:color="auto"/>
      </w:divBdr>
      <w:divsChild>
        <w:div w:id="445779860">
          <w:marLeft w:val="0"/>
          <w:marRight w:val="0"/>
          <w:marTop w:val="0"/>
          <w:marBottom w:val="0"/>
          <w:divBdr>
            <w:top w:val="none" w:sz="0" w:space="0" w:color="auto"/>
            <w:left w:val="none" w:sz="0" w:space="0" w:color="auto"/>
            <w:bottom w:val="none" w:sz="0" w:space="0" w:color="auto"/>
            <w:right w:val="none" w:sz="0" w:space="0" w:color="auto"/>
          </w:divBdr>
        </w:div>
      </w:divsChild>
    </w:div>
    <w:div w:id="1006445354">
      <w:bodyDiv w:val="1"/>
      <w:marLeft w:val="0"/>
      <w:marRight w:val="0"/>
      <w:marTop w:val="0"/>
      <w:marBottom w:val="0"/>
      <w:divBdr>
        <w:top w:val="none" w:sz="0" w:space="0" w:color="auto"/>
        <w:left w:val="none" w:sz="0" w:space="0" w:color="auto"/>
        <w:bottom w:val="none" w:sz="0" w:space="0" w:color="auto"/>
        <w:right w:val="none" w:sz="0" w:space="0" w:color="auto"/>
      </w:divBdr>
    </w:div>
    <w:div w:id="1008948937">
      <w:bodyDiv w:val="1"/>
      <w:marLeft w:val="0"/>
      <w:marRight w:val="0"/>
      <w:marTop w:val="0"/>
      <w:marBottom w:val="0"/>
      <w:divBdr>
        <w:top w:val="none" w:sz="0" w:space="0" w:color="auto"/>
        <w:left w:val="none" w:sz="0" w:space="0" w:color="auto"/>
        <w:bottom w:val="none" w:sz="0" w:space="0" w:color="auto"/>
        <w:right w:val="none" w:sz="0" w:space="0" w:color="auto"/>
      </w:divBdr>
    </w:div>
    <w:div w:id="1023827924">
      <w:bodyDiv w:val="1"/>
      <w:marLeft w:val="0"/>
      <w:marRight w:val="0"/>
      <w:marTop w:val="0"/>
      <w:marBottom w:val="0"/>
      <w:divBdr>
        <w:top w:val="none" w:sz="0" w:space="0" w:color="auto"/>
        <w:left w:val="none" w:sz="0" w:space="0" w:color="auto"/>
        <w:bottom w:val="none" w:sz="0" w:space="0" w:color="auto"/>
        <w:right w:val="none" w:sz="0" w:space="0" w:color="auto"/>
      </w:divBdr>
      <w:divsChild>
        <w:div w:id="1670059788">
          <w:marLeft w:val="0"/>
          <w:marRight w:val="0"/>
          <w:marTop w:val="0"/>
          <w:marBottom w:val="0"/>
          <w:divBdr>
            <w:top w:val="none" w:sz="0" w:space="0" w:color="auto"/>
            <w:left w:val="none" w:sz="0" w:space="0" w:color="auto"/>
            <w:bottom w:val="none" w:sz="0" w:space="0" w:color="auto"/>
            <w:right w:val="none" w:sz="0" w:space="0" w:color="auto"/>
          </w:divBdr>
        </w:div>
      </w:divsChild>
    </w:div>
    <w:div w:id="1503352681">
      <w:bodyDiv w:val="1"/>
      <w:marLeft w:val="0"/>
      <w:marRight w:val="0"/>
      <w:marTop w:val="0"/>
      <w:marBottom w:val="0"/>
      <w:divBdr>
        <w:top w:val="none" w:sz="0" w:space="0" w:color="auto"/>
        <w:left w:val="none" w:sz="0" w:space="0" w:color="auto"/>
        <w:bottom w:val="none" w:sz="0" w:space="0" w:color="auto"/>
        <w:right w:val="none" w:sz="0" w:space="0" w:color="auto"/>
      </w:divBdr>
    </w:div>
    <w:div w:id="1538161622">
      <w:bodyDiv w:val="1"/>
      <w:marLeft w:val="0"/>
      <w:marRight w:val="0"/>
      <w:marTop w:val="0"/>
      <w:marBottom w:val="0"/>
      <w:divBdr>
        <w:top w:val="none" w:sz="0" w:space="0" w:color="auto"/>
        <w:left w:val="none" w:sz="0" w:space="0" w:color="auto"/>
        <w:bottom w:val="none" w:sz="0" w:space="0" w:color="auto"/>
        <w:right w:val="none" w:sz="0" w:space="0" w:color="auto"/>
      </w:divBdr>
    </w:div>
    <w:div w:id="1605574734">
      <w:bodyDiv w:val="1"/>
      <w:marLeft w:val="0"/>
      <w:marRight w:val="0"/>
      <w:marTop w:val="0"/>
      <w:marBottom w:val="0"/>
      <w:divBdr>
        <w:top w:val="none" w:sz="0" w:space="0" w:color="auto"/>
        <w:left w:val="none" w:sz="0" w:space="0" w:color="auto"/>
        <w:bottom w:val="none" w:sz="0" w:space="0" w:color="auto"/>
        <w:right w:val="none" w:sz="0" w:space="0" w:color="auto"/>
      </w:divBdr>
      <w:divsChild>
        <w:div w:id="634942955">
          <w:marLeft w:val="0"/>
          <w:marRight w:val="0"/>
          <w:marTop w:val="0"/>
          <w:marBottom w:val="0"/>
          <w:divBdr>
            <w:top w:val="none" w:sz="0" w:space="0" w:color="auto"/>
            <w:left w:val="none" w:sz="0" w:space="0" w:color="auto"/>
            <w:bottom w:val="none" w:sz="0" w:space="0" w:color="auto"/>
            <w:right w:val="none" w:sz="0" w:space="0" w:color="auto"/>
          </w:divBdr>
        </w:div>
      </w:divsChild>
    </w:div>
    <w:div w:id="1620720939">
      <w:bodyDiv w:val="1"/>
      <w:marLeft w:val="0"/>
      <w:marRight w:val="0"/>
      <w:marTop w:val="0"/>
      <w:marBottom w:val="0"/>
      <w:divBdr>
        <w:top w:val="none" w:sz="0" w:space="0" w:color="auto"/>
        <w:left w:val="none" w:sz="0" w:space="0" w:color="auto"/>
        <w:bottom w:val="none" w:sz="0" w:space="0" w:color="auto"/>
        <w:right w:val="none" w:sz="0" w:space="0" w:color="auto"/>
      </w:divBdr>
    </w:div>
    <w:div w:id="1634750732">
      <w:bodyDiv w:val="1"/>
      <w:marLeft w:val="0"/>
      <w:marRight w:val="0"/>
      <w:marTop w:val="0"/>
      <w:marBottom w:val="0"/>
      <w:divBdr>
        <w:top w:val="none" w:sz="0" w:space="0" w:color="auto"/>
        <w:left w:val="none" w:sz="0" w:space="0" w:color="auto"/>
        <w:bottom w:val="none" w:sz="0" w:space="0" w:color="auto"/>
        <w:right w:val="none" w:sz="0" w:space="0" w:color="auto"/>
      </w:divBdr>
    </w:div>
    <w:div w:id="1683434851">
      <w:bodyDiv w:val="1"/>
      <w:marLeft w:val="0"/>
      <w:marRight w:val="0"/>
      <w:marTop w:val="0"/>
      <w:marBottom w:val="0"/>
      <w:divBdr>
        <w:top w:val="none" w:sz="0" w:space="0" w:color="auto"/>
        <w:left w:val="none" w:sz="0" w:space="0" w:color="auto"/>
        <w:bottom w:val="none" w:sz="0" w:space="0" w:color="auto"/>
        <w:right w:val="none" w:sz="0" w:space="0" w:color="auto"/>
      </w:divBdr>
      <w:divsChild>
        <w:div w:id="86511940">
          <w:marLeft w:val="0"/>
          <w:marRight w:val="0"/>
          <w:marTop w:val="0"/>
          <w:marBottom w:val="0"/>
          <w:divBdr>
            <w:top w:val="none" w:sz="0" w:space="0" w:color="auto"/>
            <w:left w:val="none" w:sz="0" w:space="0" w:color="auto"/>
            <w:bottom w:val="none" w:sz="0" w:space="0" w:color="auto"/>
            <w:right w:val="none" w:sz="0" w:space="0" w:color="auto"/>
          </w:divBdr>
        </w:div>
      </w:divsChild>
    </w:div>
    <w:div w:id="1841239688">
      <w:bodyDiv w:val="1"/>
      <w:marLeft w:val="0"/>
      <w:marRight w:val="0"/>
      <w:marTop w:val="0"/>
      <w:marBottom w:val="0"/>
      <w:divBdr>
        <w:top w:val="none" w:sz="0" w:space="0" w:color="auto"/>
        <w:left w:val="none" w:sz="0" w:space="0" w:color="auto"/>
        <w:bottom w:val="none" w:sz="0" w:space="0" w:color="auto"/>
        <w:right w:val="none" w:sz="0" w:space="0" w:color="auto"/>
      </w:divBdr>
    </w:div>
    <w:div w:id="1861385424">
      <w:bodyDiv w:val="1"/>
      <w:marLeft w:val="0"/>
      <w:marRight w:val="0"/>
      <w:marTop w:val="0"/>
      <w:marBottom w:val="0"/>
      <w:divBdr>
        <w:top w:val="none" w:sz="0" w:space="0" w:color="auto"/>
        <w:left w:val="none" w:sz="0" w:space="0" w:color="auto"/>
        <w:bottom w:val="none" w:sz="0" w:space="0" w:color="auto"/>
        <w:right w:val="none" w:sz="0" w:space="0" w:color="auto"/>
      </w:divBdr>
    </w:div>
    <w:div w:id="1882743724">
      <w:bodyDiv w:val="1"/>
      <w:marLeft w:val="0"/>
      <w:marRight w:val="0"/>
      <w:marTop w:val="0"/>
      <w:marBottom w:val="0"/>
      <w:divBdr>
        <w:top w:val="none" w:sz="0" w:space="0" w:color="auto"/>
        <w:left w:val="none" w:sz="0" w:space="0" w:color="auto"/>
        <w:bottom w:val="none" w:sz="0" w:space="0" w:color="auto"/>
        <w:right w:val="none" w:sz="0" w:space="0" w:color="auto"/>
      </w:divBdr>
    </w:div>
    <w:div w:id="2003005216">
      <w:bodyDiv w:val="1"/>
      <w:marLeft w:val="0"/>
      <w:marRight w:val="0"/>
      <w:marTop w:val="0"/>
      <w:marBottom w:val="0"/>
      <w:divBdr>
        <w:top w:val="none" w:sz="0" w:space="0" w:color="auto"/>
        <w:left w:val="none" w:sz="0" w:space="0" w:color="auto"/>
        <w:bottom w:val="none" w:sz="0" w:space="0" w:color="auto"/>
        <w:right w:val="none" w:sz="0" w:space="0" w:color="auto"/>
      </w:divBdr>
    </w:div>
    <w:div w:id="2061443137">
      <w:bodyDiv w:val="1"/>
      <w:marLeft w:val="0"/>
      <w:marRight w:val="0"/>
      <w:marTop w:val="0"/>
      <w:marBottom w:val="0"/>
      <w:divBdr>
        <w:top w:val="none" w:sz="0" w:space="0" w:color="auto"/>
        <w:left w:val="none" w:sz="0" w:space="0" w:color="auto"/>
        <w:bottom w:val="none" w:sz="0" w:space="0" w:color="auto"/>
        <w:right w:val="none" w:sz="0" w:space="0" w:color="auto"/>
      </w:divBdr>
      <w:divsChild>
        <w:div w:id="1822579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ewresearch.org/topics/criminal-jus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ntencingproject.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ntencing.typepad.com/sentencing_law_and_poli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36A52-95A0-407E-A7FF-A17F285F6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11122</Words>
  <Characters>63398</Characters>
  <Application>Microsoft Office Word</Application>
  <DocSecurity>4</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Doyle</dc:creator>
  <cp:lastModifiedBy>Jonathan Grossman</cp:lastModifiedBy>
  <cp:revision>2</cp:revision>
  <cp:lastPrinted>2021-10-04T20:58:00Z</cp:lastPrinted>
  <dcterms:created xsi:type="dcterms:W3CDTF">2021-10-05T15:58:00Z</dcterms:created>
  <dcterms:modified xsi:type="dcterms:W3CDTF">2021-10-05T15:58:00Z</dcterms:modified>
</cp:coreProperties>
</file>