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A1" w:rsidRPr="00314943" w:rsidRDefault="00314943" w:rsidP="00314943">
      <w:pPr>
        <w:jc w:val="center"/>
        <w:rPr>
          <w:rFonts w:ascii="Century Schoolbook" w:hAnsi="Century Schoolbook"/>
          <w:b/>
          <w:sz w:val="28"/>
          <w:szCs w:val="28"/>
        </w:rPr>
      </w:pPr>
      <w:r w:rsidRPr="00314943">
        <w:rPr>
          <w:rFonts w:ascii="Century Schoolbook" w:hAnsi="Century Schoolbook"/>
          <w:b/>
          <w:sz w:val="28"/>
          <w:szCs w:val="28"/>
        </w:rPr>
        <w:t>ELUSIVE EXCEPTIONS TO WAIVER &amp; FORFEITURE BARS</w:t>
      </w:r>
    </w:p>
    <w:p w:rsidR="00314943" w:rsidRPr="00314943" w:rsidRDefault="00314943" w:rsidP="00314943">
      <w:pPr>
        <w:jc w:val="center"/>
        <w:rPr>
          <w:rFonts w:ascii="Century Schoolbook" w:hAnsi="Century Schoolbook"/>
          <w:b/>
          <w:sz w:val="26"/>
          <w:szCs w:val="26"/>
          <w:u w:val="single"/>
        </w:rPr>
      </w:pPr>
      <w:r w:rsidRPr="00314943">
        <w:rPr>
          <w:rFonts w:ascii="Century Schoolbook" w:hAnsi="Century Schoolbook"/>
          <w:b/>
          <w:sz w:val="26"/>
          <w:szCs w:val="26"/>
          <w:u w:val="single"/>
        </w:rPr>
        <w:t>Nov. 2020 Addendum</w:t>
      </w:r>
    </w:p>
    <w:p w:rsidR="00314943" w:rsidRDefault="00314943" w:rsidP="00314943">
      <w:pPr>
        <w:spacing w:after="0"/>
        <w:jc w:val="center"/>
        <w:rPr>
          <w:rFonts w:ascii="Century Schoolbook" w:hAnsi="Century Schoolbook"/>
          <w:b/>
          <w:sz w:val="26"/>
          <w:szCs w:val="26"/>
        </w:rPr>
      </w:pPr>
      <w:r>
        <w:rPr>
          <w:rFonts w:ascii="Century Schoolbook" w:hAnsi="Century Schoolbook"/>
          <w:b/>
          <w:sz w:val="26"/>
          <w:szCs w:val="26"/>
        </w:rPr>
        <w:t>J. Bradley O’Connell, Assistant Director</w:t>
      </w:r>
    </w:p>
    <w:p w:rsidR="00314943" w:rsidRDefault="00314943" w:rsidP="00314943">
      <w:pPr>
        <w:spacing w:after="0"/>
        <w:jc w:val="center"/>
        <w:rPr>
          <w:rFonts w:ascii="Century Schoolbook" w:hAnsi="Century Schoolbook"/>
          <w:b/>
          <w:sz w:val="26"/>
          <w:szCs w:val="26"/>
        </w:rPr>
      </w:pPr>
      <w:r>
        <w:rPr>
          <w:rFonts w:ascii="Century Schoolbook" w:hAnsi="Century Schoolbook"/>
          <w:b/>
          <w:sz w:val="26"/>
          <w:szCs w:val="26"/>
        </w:rPr>
        <w:t>First District Appellate Project</w:t>
      </w:r>
    </w:p>
    <w:p w:rsidR="00314943" w:rsidRDefault="009153F3" w:rsidP="00314943">
      <w:pPr>
        <w:spacing w:after="0"/>
        <w:jc w:val="center"/>
        <w:rPr>
          <w:rFonts w:ascii="Century Schoolbook" w:hAnsi="Century Schoolbook"/>
          <w:b/>
          <w:sz w:val="26"/>
          <w:szCs w:val="26"/>
        </w:rPr>
      </w:pPr>
      <w:hyperlink r:id="rId8" w:history="1">
        <w:r w:rsidR="00314943" w:rsidRPr="003E400B">
          <w:rPr>
            <w:rStyle w:val="Hyperlink"/>
            <w:rFonts w:ascii="Century Schoolbook" w:hAnsi="Century Schoolbook"/>
            <w:b/>
            <w:sz w:val="26"/>
            <w:szCs w:val="26"/>
          </w:rPr>
          <w:t>jboc@fdap.org</w:t>
        </w:r>
      </w:hyperlink>
    </w:p>
    <w:p w:rsidR="00314943" w:rsidRDefault="00314943" w:rsidP="00314943">
      <w:pPr>
        <w:spacing w:after="0"/>
        <w:jc w:val="center"/>
        <w:rPr>
          <w:rFonts w:ascii="Century Schoolbook" w:hAnsi="Century Schoolbook"/>
          <w:b/>
          <w:sz w:val="26"/>
          <w:szCs w:val="26"/>
        </w:rPr>
      </w:pPr>
    </w:p>
    <w:p w:rsidR="00314943" w:rsidRDefault="00314943" w:rsidP="00314943">
      <w:pPr>
        <w:spacing w:after="0"/>
        <w:rPr>
          <w:rFonts w:ascii="Century Schoolbook" w:hAnsi="Century Schoolbook"/>
          <w:sz w:val="26"/>
          <w:szCs w:val="26"/>
        </w:rPr>
      </w:pPr>
      <w:r>
        <w:rPr>
          <w:rFonts w:ascii="Century Schoolbook" w:hAnsi="Century Schoolbook"/>
          <w:sz w:val="26"/>
          <w:szCs w:val="26"/>
        </w:rPr>
        <w:t>This short Addendum supplements FDAP’s “Elusive Exceptions to Waiver &amp; Forfeiture Bars,” originally prepared</w:t>
      </w:r>
      <w:r w:rsidR="00003B72">
        <w:rPr>
          <w:rFonts w:ascii="Century Schoolbook" w:hAnsi="Century Schoolbook"/>
          <w:sz w:val="26"/>
          <w:szCs w:val="26"/>
        </w:rPr>
        <w:t xml:space="preserve"> in Jan. 2004 and updated and revised through Oct. 2013. (Page references are to the 2013 revised version.)</w:t>
      </w:r>
      <w:r w:rsidR="00B16F7E">
        <w:rPr>
          <w:rFonts w:ascii="Century Schoolbook" w:hAnsi="Century Schoolbook"/>
          <w:sz w:val="26"/>
          <w:szCs w:val="26"/>
        </w:rPr>
        <w:t xml:space="preserve"> There has been no attempt here to include all the intervening cases applying the various waiver/forfeiture exceptions</w:t>
      </w:r>
      <w:bookmarkStart w:id="0" w:name="_GoBack"/>
      <w:bookmarkEnd w:id="0"/>
      <w:r w:rsidR="00B16F7E">
        <w:rPr>
          <w:rFonts w:ascii="Century Schoolbook" w:hAnsi="Century Schoolbook"/>
          <w:sz w:val="26"/>
          <w:szCs w:val="26"/>
        </w:rPr>
        <w:t xml:space="preserve"> addressed in the previous materials.  This addendum is limited to recent opinions extending or clarifying those principles or illustrating their application in different contexts.</w:t>
      </w:r>
    </w:p>
    <w:p w:rsidR="00003B72" w:rsidRDefault="00003B72" w:rsidP="00314943">
      <w:pPr>
        <w:spacing w:after="0"/>
        <w:rPr>
          <w:rFonts w:ascii="Century Schoolbook" w:hAnsi="Century Schoolbook"/>
          <w:sz w:val="26"/>
          <w:szCs w:val="26"/>
        </w:rPr>
      </w:pPr>
    </w:p>
    <w:p w:rsidR="00003B72" w:rsidRDefault="00DA350F" w:rsidP="00314943">
      <w:pPr>
        <w:spacing w:after="0"/>
        <w:rPr>
          <w:rFonts w:ascii="Century Schoolbook" w:hAnsi="Century Schoolbook"/>
          <w:sz w:val="26"/>
          <w:szCs w:val="26"/>
        </w:rPr>
      </w:pPr>
      <w:r>
        <w:rPr>
          <w:rFonts w:ascii="Century Schoolbook" w:hAnsi="Century Schoolbook"/>
          <w:b/>
          <w:sz w:val="26"/>
          <w:szCs w:val="26"/>
        </w:rPr>
        <w:t>C</w:t>
      </w:r>
      <w:r w:rsidR="00003B72">
        <w:rPr>
          <w:rFonts w:ascii="Century Schoolbook" w:hAnsi="Century Schoolbook"/>
          <w:b/>
          <w:sz w:val="26"/>
          <w:szCs w:val="26"/>
        </w:rPr>
        <w:t>hange in law</w:t>
      </w:r>
      <w:r>
        <w:rPr>
          <w:rFonts w:ascii="Century Schoolbook" w:hAnsi="Century Schoolbook"/>
          <w:b/>
          <w:sz w:val="26"/>
          <w:szCs w:val="26"/>
        </w:rPr>
        <w:t>/Futility</w:t>
      </w:r>
      <w:r w:rsidR="00003B72">
        <w:rPr>
          <w:rFonts w:ascii="Century Schoolbook" w:hAnsi="Century Schoolbook"/>
          <w:sz w:val="26"/>
          <w:szCs w:val="26"/>
        </w:rPr>
        <w:t>.</w:t>
      </w:r>
      <w:r w:rsidR="00003B72">
        <w:rPr>
          <w:rFonts w:ascii="Century Schoolbook" w:hAnsi="Century Schoolbook"/>
          <w:b/>
          <w:sz w:val="26"/>
          <w:szCs w:val="26"/>
        </w:rPr>
        <w:t xml:space="preserve">  </w:t>
      </w:r>
      <w:r w:rsidR="00003B72">
        <w:rPr>
          <w:rFonts w:ascii="Century Schoolbook" w:hAnsi="Century Schoolbook"/>
          <w:sz w:val="26"/>
          <w:szCs w:val="26"/>
        </w:rPr>
        <w:t xml:space="preserve">(See Elusive Exceptions, pp. </w:t>
      </w:r>
      <w:r>
        <w:rPr>
          <w:rFonts w:ascii="Century Schoolbook" w:hAnsi="Century Schoolbook"/>
          <w:sz w:val="26"/>
          <w:szCs w:val="26"/>
        </w:rPr>
        <w:t>9-10, 12.)</w:t>
      </w:r>
    </w:p>
    <w:p w:rsidR="00DA350F" w:rsidRDefault="00DA350F" w:rsidP="00314943">
      <w:pPr>
        <w:spacing w:after="0"/>
        <w:rPr>
          <w:rFonts w:ascii="Century Schoolbook" w:hAnsi="Century Schoolbook"/>
          <w:sz w:val="26"/>
          <w:szCs w:val="26"/>
        </w:rPr>
      </w:pPr>
    </w:p>
    <w:p w:rsidR="00DA350F" w:rsidRDefault="00DA350F" w:rsidP="00314943">
      <w:pPr>
        <w:pStyle w:val="ListParagraph"/>
        <w:numPr>
          <w:ilvl w:val="0"/>
          <w:numId w:val="1"/>
        </w:numPr>
        <w:spacing w:after="0"/>
        <w:rPr>
          <w:rFonts w:ascii="Century Schoolbook" w:hAnsi="Century Schoolbook"/>
          <w:sz w:val="26"/>
          <w:szCs w:val="26"/>
        </w:rPr>
      </w:pPr>
      <w:r w:rsidRPr="00596251">
        <w:rPr>
          <w:rFonts w:ascii="Century Schoolbook" w:hAnsi="Century Schoolbook"/>
          <w:i/>
          <w:sz w:val="26"/>
          <w:szCs w:val="26"/>
        </w:rPr>
        <w:t>People v. Perez</w:t>
      </w:r>
      <w:r w:rsidRPr="00596251">
        <w:rPr>
          <w:rFonts w:ascii="Century Schoolbook" w:hAnsi="Century Schoolbook"/>
          <w:sz w:val="26"/>
          <w:szCs w:val="26"/>
        </w:rPr>
        <w:t xml:space="preserve"> (2020) 9 Cal.5</w:t>
      </w:r>
      <w:r w:rsidRPr="00596251">
        <w:rPr>
          <w:rFonts w:ascii="Century Schoolbook" w:hAnsi="Century Schoolbook"/>
          <w:sz w:val="26"/>
          <w:szCs w:val="26"/>
          <w:vertAlign w:val="superscript"/>
        </w:rPr>
        <w:t>th</w:t>
      </w:r>
      <w:r w:rsidRPr="00596251">
        <w:rPr>
          <w:rFonts w:ascii="Century Schoolbook" w:hAnsi="Century Schoolbook"/>
          <w:sz w:val="26"/>
          <w:szCs w:val="26"/>
        </w:rPr>
        <w:t xml:space="preserve"> 1 (gang expert hearsay).  Supreme Court excuses failure to object to testimonial hearsay in gang expert testimony in trials conducted before </w:t>
      </w:r>
      <w:r w:rsidRPr="00596251">
        <w:rPr>
          <w:rFonts w:ascii="Century Schoolbook" w:hAnsi="Century Schoolbook"/>
          <w:i/>
          <w:sz w:val="26"/>
          <w:szCs w:val="26"/>
        </w:rPr>
        <w:t>People v. Sanchez</w:t>
      </w:r>
      <w:r w:rsidRPr="00596251">
        <w:rPr>
          <w:rFonts w:ascii="Century Schoolbook" w:hAnsi="Century Schoolbook"/>
          <w:sz w:val="26"/>
          <w:szCs w:val="26"/>
        </w:rPr>
        <w:t xml:space="preserve"> (2016) 63 Cal.4</w:t>
      </w:r>
      <w:r w:rsidRPr="00596251">
        <w:rPr>
          <w:rFonts w:ascii="Century Schoolbook" w:hAnsi="Century Schoolbook"/>
          <w:sz w:val="26"/>
          <w:szCs w:val="26"/>
          <w:vertAlign w:val="superscript"/>
        </w:rPr>
        <w:t>th</w:t>
      </w:r>
      <w:r w:rsidRPr="00596251">
        <w:rPr>
          <w:rFonts w:ascii="Century Schoolbook" w:hAnsi="Century Schoolbook"/>
          <w:sz w:val="26"/>
          <w:szCs w:val="26"/>
        </w:rPr>
        <w:t xml:space="preserve"> 665.</w:t>
      </w:r>
      <w:r w:rsidR="00596251" w:rsidRPr="00596251">
        <w:rPr>
          <w:rFonts w:ascii="Century Schoolbook" w:hAnsi="Century Schoolbook"/>
          <w:sz w:val="26"/>
          <w:szCs w:val="26"/>
        </w:rPr>
        <w:t xml:space="preserve">  </w:t>
      </w:r>
      <w:r w:rsidR="00596251">
        <w:rPr>
          <w:rFonts w:ascii="Century Schoolbook" w:hAnsi="Century Schoolbook"/>
          <w:sz w:val="26"/>
          <w:szCs w:val="26"/>
        </w:rPr>
        <w:t>An objection would have been futile under pre-</w:t>
      </w:r>
      <w:r w:rsidR="00596251">
        <w:rPr>
          <w:rFonts w:ascii="Century Schoolbook" w:hAnsi="Century Schoolbook"/>
          <w:i/>
          <w:sz w:val="26"/>
          <w:szCs w:val="26"/>
        </w:rPr>
        <w:t>Sanchez</w:t>
      </w:r>
      <w:r w:rsidR="00596251">
        <w:rPr>
          <w:rFonts w:ascii="Century Schoolbook" w:hAnsi="Century Schoolbook"/>
          <w:sz w:val="26"/>
          <w:szCs w:val="26"/>
        </w:rPr>
        <w:t xml:space="preserve"> precedents that were binding on lower courts, especially a 1996 Cal</w:t>
      </w:r>
      <w:r w:rsidR="00A43F1C">
        <w:rPr>
          <w:rFonts w:ascii="Century Schoolbook" w:hAnsi="Century Schoolbook"/>
          <w:sz w:val="26"/>
          <w:szCs w:val="26"/>
        </w:rPr>
        <w:t>ifornia</w:t>
      </w:r>
      <w:r w:rsidR="00596251">
        <w:rPr>
          <w:rFonts w:ascii="Century Schoolbook" w:hAnsi="Century Schoolbook"/>
          <w:sz w:val="26"/>
          <w:szCs w:val="26"/>
        </w:rPr>
        <w:t xml:space="preserve"> Supreme Court opinion, </w:t>
      </w:r>
      <w:r w:rsidR="00596251">
        <w:rPr>
          <w:rFonts w:ascii="Century Schoolbook" w:hAnsi="Century Schoolbook"/>
          <w:i/>
          <w:sz w:val="26"/>
          <w:szCs w:val="26"/>
        </w:rPr>
        <w:t>Gardeley</w:t>
      </w:r>
      <w:r w:rsidR="00596251">
        <w:rPr>
          <w:rFonts w:ascii="Century Schoolbook" w:hAnsi="Century Schoolbook"/>
          <w:sz w:val="26"/>
          <w:szCs w:val="26"/>
        </w:rPr>
        <w:t xml:space="preserve">. The Court rejected contention that defense counsel should have anticipated change in the law and objected based on criticisms of </w:t>
      </w:r>
      <w:r w:rsidR="00596251">
        <w:rPr>
          <w:rFonts w:ascii="Century Schoolbook" w:hAnsi="Century Schoolbook"/>
          <w:i/>
          <w:sz w:val="26"/>
          <w:szCs w:val="26"/>
        </w:rPr>
        <w:t>Gardeley</w:t>
      </w:r>
      <w:r w:rsidR="00596251">
        <w:rPr>
          <w:rFonts w:ascii="Century Schoolbook" w:hAnsi="Century Schoolbook"/>
          <w:sz w:val="26"/>
          <w:szCs w:val="26"/>
        </w:rPr>
        <w:t xml:space="preserve"> and opinions on other confrontation issues.  “This … is beyond what we have required and too amorphous a standard to place on trial counsel.” </w:t>
      </w:r>
      <w:r w:rsidR="0015472B">
        <w:rPr>
          <w:rFonts w:ascii="Century Schoolbook" w:hAnsi="Century Schoolbook"/>
          <w:i/>
          <w:sz w:val="26"/>
          <w:szCs w:val="26"/>
        </w:rPr>
        <w:t>Sanchez</w:t>
      </w:r>
      <w:r w:rsidR="0015472B">
        <w:rPr>
          <w:rFonts w:ascii="Century Schoolbook" w:hAnsi="Century Schoolbook"/>
          <w:sz w:val="26"/>
          <w:szCs w:val="26"/>
        </w:rPr>
        <w:t xml:space="preserve"> at 13. </w:t>
      </w:r>
      <w:r w:rsidR="00596251">
        <w:rPr>
          <w:rFonts w:ascii="Century Schoolbook" w:hAnsi="Century Schoolbook"/>
          <w:sz w:val="26"/>
          <w:szCs w:val="26"/>
        </w:rPr>
        <w:t xml:space="preserve">“[A] defendant need not predict subsequent substantive changes in law in order to preserve objections.” </w:t>
      </w:r>
      <w:r w:rsidR="0015472B">
        <w:rPr>
          <w:rFonts w:ascii="Century Schoolbook" w:hAnsi="Century Schoolbook"/>
          <w:i/>
          <w:sz w:val="26"/>
          <w:szCs w:val="26"/>
        </w:rPr>
        <w:t>Id.</w:t>
      </w:r>
      <w:r w:rsidR="0015472B">
        <w:rPr>
          <w:rFonts w:ascii="Century Schoolbook" w:hAnsi="Century Schoolbook"/>
          <w:sz w:val="26"/>
          <w:szCs w:val="26"/>
        </w:rPr>
        <w:t xml:space="preserve"> at 10.</w:t>
      </w:r>
    </w:p>
    <w:p w:rsidR="0015472B" w:rsidRDefault="0015472B" w:rsidP="0015472B">
      <w:pPr>
        <w:spacing w:after="0"/>
        <w:rPr>
          <w:rFonts w:ascii="Century Schoolbook" w:hAnsi="Century Schoolbook"/>
          <w:sz w:val="26"/>
          <w:szCs w:val="26"/>
        </w:rPr>
      </w:pPr>
    </w:p>
    <w:p w:rsidR="0015472B" w:rsidRDefault="0015472B" w:rsidP="0015472B">
      <w:pPr>
        <w:spacing w:after="0"/>
        <w:rPr>
          <w:rFonts w:ascii="Century Schoolbook" w:hAnsi="Century Schoolbook"/>
          <w:sz w:val="26"/>
          <w:szCs w:val="26"/>
        </w:rPr>
      </w:pPr>
      <w:r>
        <w:rPr>
          <w:rFonts w:ascii="Century Schoolbook" w:hAnsi="Century Schoolbook"/>
          <w:b/>
          <w:sz w:val="26"/>
          <w:szCs w:val="26"/>
        </w:rPr>
        <w:t>Discretion to address clear error affecting “important issue of constitutional law or a substantive right.”</w:t>
      </w:r>
      <w:r>
        <w:rPr>
          <w:rFonts w:ascii="Century Schoolbook" w:hAnsi="Century Schoolbook"/>
          <w:sz w:val="26"/>
          <w:szCs w:val="26"/>
        </w:rPr>
        <w:t xml:space="preserve">  (</w:t>
      </w:r>
      <w:r w:rsidR="004F2207">
        <w:rPr>
          <w:rFonts w:ascii="Century Schoolbook" w:hAnsi="Century Schoolbook"/>
          <w:sz w:val="26"/>
          <w:szCs w:val="26"/>
        </w:rPr>
        <w:t xml:space="preserve">See </w:t>
      </w:r>
      <w:r>
        <w:rPr>
          <w:rFonts w:ascii="Century Schoolbook" w:hAnsi="Century Schoolbook"/>
          <w:sz w:val="26"/>
          <w:szCs w:val="26"/>
        </w:rPr>
        <w:t xml:space="preserve">Elusive Exceptions, pp. </w:t>
      </w:r>
      <w:r w:rsidR="004F2207">
        <w:rPr>
          <w:rFonts w:ascii="Century Schoolbook" w:hAnsi="Century Schoolbook"/>
          <w:sz w:val="26"/>
          <w:szCs w:val="26"/>
        </w:rPr>
        <w:t>10-12.)</w:t>
      </w:r>
    </w:p>
    <w:p w:rsidR="004F2207" w:rsidRDefault="004F2207" w:rsidP="0015472B">
      <w:pPr>
        <w:spacing w:after="0"/>
        <w:rPr>
          <w:rFonts w:ascii="Century Schoolbook" w:hAnsi="Century Schoolbook"/>
          <w:sz w:val="26"/>
          <w:szCs w:val="26"/>
        </w:rPr>
      </w:pPr>
    </w:p>
    <w:p w:rsidR="00003B72" w:rsidRDefault="004F2207" w:rsidP="00314943">
      <w:pPr>
        <w:pStyle w:val="ListParagraph"/>
        <w:numPr>
          <w:ilvl w:val="0"/>
          <w:numId w:val="1"/>
        </w:numPr>
        <w:spacing w:after="0"/>
        <w:rPr>
          <w:rFonts w:ascii="Century Schoolbook" w:hAnsi="Century Schoolbook"/>
          <w:sz w:val="26"/>
          <w:szCs w:val="26"/>
        </w:rPr>
      </w:pPr>
      <w:r w:rsidRPr="00044242">
        <w:rPr>
          <w:rFonts w:ascii="Century Schoolbook" w:hAnsi="Century Schoolbook"/>
          <w:i/>
          <w:sz w:val="26"/>
          <w:szCs w:val="26"/>
        </w:rPr>
        <w:t>People v. Anderson</w:t>
      </w:r>
      <w:r w:rsidRPr="00044242">
        <w:rPr>
          <w:rFonts w:ascii="Century Schoolbook" w:hAnsi="Century Schoolbook"/>
          <w:sz w:val="26"/>
          <w:szCs w:val="26"/>
        </w:rPr>
        <w:t xml:space="preserve"> (2020) 9 Cal.5</w:t>
      </w:r>
      <w:r w:rsidRPr="00044242">
        <w:rPr>
          <w:rFonts w:ascii="Century Schoolbook" w:hAnsi="Century Schoolbook"/>
          <w:sz w:val="26"/>
          <w:szCs w:val="26"/>
          <w:vertAlign w:val="superscript"/>
        </w:rPr>
        <w:t>th</w:t>
      </w:r>
      <w:r w:rsidRPr="00044242">
        <w:rPr>
          <w:rFonts w:ascii="Century Schoolbook" w:hAnsi="Century Schoolbook"/>
          <w:sz w:val="26"/>
          <w:szCs w:val="26"/>
        </w:rPr>
        <w:t xml:space="preserve"> 946 (unpleaded sentence enhancements).  Trial court imposed vicarious firearm use with injury </w:t>
      </w:r>
      <w:r w:rsidR="0033407B" w:rsidRPr="00044242">
        <w:rPr>
          <w:rFonts w:ascii="Century Schoolbook" w:hAnsi="Century Schoolbook"/>
          <w:sz w:val="26"/>
          <w:szCs w:val="26"/>
        </w:rPr>
        <w:t xml:space="preserve">or death </w:t>
      </w:r>
      <w:r w:rsidRPr="00044242">
        <w:rPr>
          <w:rFonts w:ascii="Century Schoolbook" w:hAnsi="Century Schoolbook"/>
          <w:sz w:val="26"/>
          <w:szCs w:val="26"/>
        </w:rPr>
        <w:t>enhancements of 25-years-to-life (</w:t>
      </w:r>
      <w:r w:rsidR="0033407B" w:rsidRPr="00044242">
        <w:rPr>
          <w:rFonts w:ascii="Century Schoolbook" w:hAnsi="Century Schoolbook"/>
          <w:sz w:val="26"/>
          <w:szCs w:val="26"/>
        </w:rPr>
        <w:t>§ 12022.53(d)-(e)) on several robbery counts, although information had only pleaded less</w:t>
      </w:r>
      <w:r w:rsidR="00A43F1C">
        <w:rPr>
          <w:rFonts w:ascii="Century Schoolbook" w:hAnsi="Century Schoolbook"/>
          <w:sz w:val="26"/>
          <w:szCs w:val="26"/>
        </w:rPr>
        <w:t>er</w:t>
      </w:r>
      <w:r w:rsidR="0033407B" w:rsidRPr="00044242">
        <w:rPr>
          <w:rFonts w:ascii="Century Schoolbook" w:hAnsi="Century Schoolbook"/>
          <w:sz w:val="26"/>
          <w:szCs w:val="26"/>
        </w:rPr>
        <w:t xml:space="preserve"> firearm </w:t>
      </w:r>
      <w:r w:rsidR="0033407B" w:rsidRPr="00044242">
        <w:rPr>
          <w:rFonts w:ascii="Century Schoolbook" w:hAnsi="Century Schoolbook"/>
          <w:sz w:val="26"/>
          <w:szCs w:val="26"/>
        </w:rPr>
        <w:lastRenderedPageBreak/>
        <w:t>enhancements (§</w:t>
      </w:r>
      <w:r w:rsidR="00044242" w:rsidRPr="00044242">
        <w:rPr>
          <w:rFonts w:ascii="Century Schoolbook" w:hAnsi="Century Schoolbook"/>
          <w:sz w:val="26"/>
          <w:szCs w:val="26"/>
        </w:rPr>
        <w:t>§</w:t>
      </w:r>
      <w:r w:rsidR="0033407B" w:rsidRPr="00044242">
        <w:rPr>
          <w:rFonts w:ascii="Century Schoolbook" w:hAnsi="Century Schoolbook"/>
          <w:sz w:val="26"/>
          <w:szCs w:val="26"/>
        </w:rPr>
        <w:t xml:space="preserve"> </w:t>
      </w:r>
      <w:r w:rsidR="00044242" w:rsidRPr="00044242">
        <w:rPr>
          <w:rFonts w:ascii="Century Schoolbook" w:hAnsi="Century Schoolbook"/>
          <w:sz w:val="26"/>
          <w:szCs w:val="26"/>
        </w:rPr>
        <w:t xml:space="preserve">12022.5(a), </w:t>
      </w:r>
      <w:r w:rsidR="0033407B" w:rsidRPr="00044242">
        <w:rPr>
          <w:rFonts w:ascii="Century Schoolbook" w:hAnsi="Century Schoolbook"/>
          <w:sz w:val="26"/>
          <w:szCs w:val="26"/>
        </w:rPr>
        <w:t>12022.53</w:t>
      </w:r>
      <w:r w:rsidR="00044242" w:rsidRPr="00044242">
        <w:rPr>
          <w:rFonts w:ascii="Century Schoolbook" w:hAnsi="Century Schoolbook"/>
          <w:sz w:val="26"/>
          <w:szCs w:val="26"/>
        </w:rPr>
        <w:t>(b</w:t>
      </w:r>
      <w:r w:rsidR="0033407B" w:rsidRPr="00044242">
        <w:rPr>
          <w:rFonts w:ascii="Century Schoolbook" w:hAnsi="Century Schoolbook"/>
          <w:sz w:val="26"/>
          <w:szCs w:val="26"/>
        </w:rPr>
        <w:t>)</w:t>
      </w:r>
      <w:r w:rsidR="00044242" w:rsidRPr="00044242">
        <w:rPr>
          <w:rFonts w:ascii="Century Schoolbook" w:hAnsi="Century Schoolbook"/>
          <w:sz w:val="26"/>
          <w:szCs w:val="26"/>
        </w:rPr>
        <w:t xml:space="preserve">.)  </w:t>
      </w:r>
      <w:r w:rsidR="00044242">
        <w:rPr>
          <w:rFonts w:ascii="Century Schoolbook" w:hAnsi="Century Schoolbook"/>
          <w:sz w:val="26"/>
          <w:szCs w:val="26"/>
        </w:rPr>
        <w:t>T</w:t>
      </w:r>
      <w:r w:rsidR="00044242" w:rsidRPr="00044242">
        <w:rPr>
          <w:rFonts w:ascii="Century Schoolbook" w:hAnsi="Century Schoolbook"/>
          <w:sz w:val="26"/>
          <w:szCs w:val="26"/>
        </w:rPr>
        <w:t xml:space="preserve">rial counsel did not object on </w:t>
      </w:r>
      <w:r w:rsidR="00A43F1C">
        <w:rPr>
          <w:rFonts w:ascii="Century Schoolbook" w:hAnsi="Century Schoolbook"/>
          <w:sz w:val="26"/>
          <w:szCs w:val="26"/>
        </w:rPr>
        <w:t xml:space="preserve">the </w:t>
      </w:r>
      <w:r w:rsidR="00044242" w:rsidRPr="00044242">
        <w:rPr>
          <w:rFonts w:ascii="Century Schoolbook" w:hAnsi="Century Schoolbook"/>
          <w:sz w:val="26"/>
          <w:szCs w:val="26"/>
        </w:rPr>
        <w:t>ground that the greater enhancements had not been pleaded as to those counts</w:t>
      </w:r>
      <w:r w:rsidR="00044242">
        <w:rPr>
          <w:rFonts w:ascii="Century Schoolbook" w:hAnsi="Century Schoolbook"/>
          <w:sz w:val="26"/>
          <w:szCs w:val="26"/>
        </w:rPr>
        <w:t>.  However</w:t>
      </w:r>
      <w:r w:rsidR="00044242" w:rsidRPr="00044242">
        <w:rPr>
          <w:rFonts w:ascii="Century Schoolbook" w:hAnsi="Century Schoolbook"/>
          <w:sz w:val="26"/>
          <w:szCs w:val="26"/>
        </w:rPr>
        <w:t>,</w:t>
      </w:r>
      <w:r w:rsidR="00044242">
        <w:rPr>
          <w:rFonts w:ascii="Century Schoolbook" w:hAnsi="Century Schoolbook"/>
          <w:sz w:val="26"/>
          <w:szCs w:val="26"/>
        </w:rPr>
        <w:t xml:space="preserve"> the</w:t>
      </w:r>
      <w:r w:rsidR="00044242" w:rsidRPr="00044242">
        <w:rPr>
          <w:rFonts w:ascii="Century Schoolbook" w:hAnsi="Century Schoolbook"/>
          <w:sz w:val="26"/>
          <w:szCs w:val="26"/>
        </w:rPr>
        <w:t xml:space="preserve"> Supreme Court </w:t>
      </w:r>
      <w:r w:rsidR="00044242">
        <w:rPr>
          <w:rFonts w:ascii="Century Schoolbook" w:hAnsi="Century Schoolbook"/>
          <w:sz w:val="26"/>
          <w:szCs w:val="26"/>
        </w:rPr>
        <w:t xml:space="preserve">exercised its discretion “to decide an otherwise forfeited claim where the trial court has made an error affecting ‘an important issue of constitutional law or a substantial right.’” </w:t>
      </w:r>
      <w:r w:rsidR="00044242">
        <w:rPr>
          <w:rFonts w:ascii="Century Schoolbook" w:hAnsi="Century Schoolbook"/>
          <w:i/>
          <w:sz w:val="26"/>
          <w:szCs w:val="26"/>
        </w:rPr>
        <w:t>Anderson</w:t>
      </w:r>
      <w:r w:rsidR="00044242">
        <w:rPr>
          <w:rFonts w:ascii="Century Schoolbook" w:hAnsi="Century Schoolbook"/>
          <w:sz w:val="26"/>
          <w:szCs w:val="26"/>
        </w:rPr>
        <w:t xml:space="preserve"> at 963.  The </w:t>
      </w:r>
      <w:r w:rsidR="00044242">
        <w:rPr>
          <w:rFonts w:ascii="Century Schoolbook" w:hAnsi="Century Schoolbook"/>
          <w:i/>
          <w:sz w:val="26"/>
          <w:szCs w:val="26"/>
        </w:rPr>
        <w:t>Anderson</w:t>
      </w:r>
      <w:r w:rsidR="00044242">
        <w:rPr>
          <w:rFonts w:ascii="Century Schoolbook" w:hAnsi="Century Schoolbook"/>
          <w:sz w:val="26"/>
          <w:szCs w:val="26"/>
        </w:rPr>
        <w:t xml:space="preserve"> opinion draws together several of the considerations relevant to discretion to </w:t>
      </w:r>
      <w:r w:rsidR="00C326F3">
        <w:rPr>
          <w:rFonts w:ascii="Century Schoolbook" w:hAnsi="Century Schoolbook"/>
          <w:sz w:val="26"/>
          <w:szCs w:val="26"/>
        </w:rPr>
        <w:t xml:space="preserve">review such unpreserved claims: “First of all, </w:t>
      </w:r>
      <w:r w:rsidR="00C326F3" w:rsidRPr="00C326F3">
        <w:rPr>
          <w:rFonts w:ascii="Century Schoolbook" w:hAnsi="Century Schoolbook"/>
          <w:i/>
          <w:sz w:val="26"/>
          <w:szCs w:val="26"/>
        </w:rPr>
        <w:t>the error here is clear and obvious</w:t>
      </w:r>
      <w:r w:rsidR="00C326F3">
        <w:rPr>
          <w:rFonts w:ascii="Century Schoolbook" w:hAnsi="Century Schoolbook"/>
          <w:sz w:val="26"/>
          <w:szCs w:val="26"/>
        </w:rPr>
        <w:t xml:space="preserve">. ….. Second, </w:t>
      </w:r>
      <w:r w:rsidR="00C326F3" w:rsidRPr="00C326F3">
        <w:rPr>
          <w:rFonts w:ascii="Century Schoolbook" w:hAnsi="Century Schoolbook"/>
          <w:i/>
          <w:sz w:val="26"/>
          <w:szCs w:val="26"/>
        </w:rPr>
        <w:t>the error affected substantial rights</w:t>
      </w:r>
      <w:r w:rsidR="00C326F3">
        <w:rPr>
          <w:rFonts w:ascii="Century Schoolbook" w:hAnsi="Century Schoolbook"/>
          <w:sz w:val="26"/>
          <w:szCs w:val="26"/>
        </w:rPr>
        <w:t xml:space="preserve"> by depriving Anderson of timely notice of the potential sentence he faced. …. And finally, the error was one that goes to </w:t>
      </w:r>
      <w:r w:rsidR="00C326F3" w:rsidRPr="00C326F3">
        <w:rPr>
          <w:rFonts w:ascii="Century Schoolbook" w:hAnsi="Century Schoolbook"/>
          <w:i/>
          <w:sz w:val="26"/>
          <w:szCs w:val="26"/>
        </w:rPr>
        <w:t>the overall fairness of the proceeding</w:t>
      </w:r>
      <w:r w:rsidR="00C326F3">
        <w:rPr>
          <w:rFonts w:ascii="Century Schoolbook" w:hAnsi="Century Schoolbook"/>
          <w:sz w:val="26"/>
          <w:szCs w:val="26"/>
        </w:rPr>
        <w:t xml:space="preserve">.” </w:t>
      </w:r>
      <w:r w:rsidR="00C326F3">
        <w:rPr>
          <w:rFonts w:ascii="Century Schoolbook" w:hAnsi="Century Schoolbook"/>
          <w:i/>
          <w:sz w:val="26"/>
          <w:szCs w:val="26"/>
        </w:rPr>
        <w:t>Ibid</w:t>
      </w:r>
      <w:r w:rsidR="00C326F3">
        <w:rPr>
          <w:rFonts w:ascii="Century Schoolbook" w:hAnsi="Century Schoolbook"/>
          <w:sz w:val="26"/>
          <w:szCs w:val="26"/>
        </w:rPr>
        <w:t>. (emphasis added).</w:t>
      </w:r>
    </w:p>
    <w:p w:rsidR="00C326F3" w:rsidRDefault="00C326F3" w:rsidP="00C326F3">
      <w:pPr>
        <w:spacing w:after="0"/>
        <w:rPr>
          <w:rFonts w:ascii="Century Schoolbook" w:hAnsi="Century Schoolbook"/>
          <w:sz w:val="26"/>
          <w:szCs w:val="26"/>
        </w:rPr>
      </w:pPr>
    </w:p>
    <w:p w:rsidR="00807DC8" w:rsidRDefault="00807DC8" w:rsidP="00807DC8">
      <w:pPr>
        <w:pStyle w:val="ListParagraph"/>
        <w:numPr>
          <w:ilvl w:val="0"/>
          <w:numId w:val="1"/>
        </w:numPr>
        <w:spacing w:after="0"/>
        <w:rPr>
          <w:rFonts w:ascii="Century Schoolbook" w:hAnsi="Century Schoolbook"/>
          <w:sz w:val="26"/>
          <w:szCs w:val="26"/>
        </w:rPr>
      </w:pPr>
      <w:r w:rsidRPr="00B16F7E">
        <w:rPr>
          <w:rFonts w:ascii="Century Schoolbook" w:hAnsi="Century Schoolbook"/>
          <w:sz w:val="26"/>
          <w:szCs w:val="26"/>
        </w:rPr>
        <w:t>Although it exercised discretion to review the claim</w:t>
      </w:r>
      <w:r w:rsidR="00C326F3" w:rsidRPr="00B16F7E">
        <w:rPr>
          <w:rFonts w:ascii="Century Schoolbook" w:hAnsi="Century Schoolbook"/>
          <w:sz w:val="26"/>
          <w:szCs w:val="26"/>
        </w:rPr>
        <w:t xml:space="preserve">, the </w:t>
      </w:r>
      <w:r w:rsidR="00C326F3" w:rsidRPr="00B16F7E">
        <w:rPr>
          <w:rFonts w:ascii="Century Schoolbook" w:hAnsi="Century Schoolbook"/>
          <w:i/>
          <w:sz w:val="26"/>
          <w:szCs w:val="26"/>
        </w:rPr>
        <w:t>Anderson</w:t>
      </w:r>
      <w:r w:rsidR="00C326F3" w:rsidRPr="00B16F7E">
        <w:rPr>
          <w:rFonts w:ascii="Century Schoolbook" w:hAnsi="Century Schoolbook"/>
          <w:sz w:val="26"/>
          <w:szCs w:val="26"/>
        </w:rPr>
        <w:t xml:space="preserve"> Court held that the unpleaded enhancement scenario there did </w:t>
      </w:r>
      <w:r w:rsidR="00C326F3" w:rsidRPr="00B16F7E">
        <w:rPr>
          <w:rFonts w:ascii="Century Schoolbook" w:hAnsi="Century Schoolbook"/>
          <w:i/>
          <w:sz w:val="26"/>
          <w:szCs w:val="26"/>
        </w:rPr>
        <w:t>not</w:t>
      </w:r>
      <w:r w:rsidR="00C326F3" w:rsidRPr="00B16F7E">
        <w:rPr>
          <w:rFonts w:ascii="Century Schoolbook" w:hAnsi="Century Schoolbook"/>
          <w:sz w:val="26"/>
          <w:szCs w:val="26"/>
        </w:rPr>
        <w:t xml:space="preserve"> </w:t>
      </w:r>
      <w:r w:rsidRPr="00B16F7E">
        <w:rPr>
          <w:rFonts w:ascii="Century Schoolbook" w:hAnsi="Century Schoolbook"/>
          <w:sz w:val="26"/>
          <w:szCs w:val="26"/>
        </w:rPr>
        <w:t xml:space="preserve">represent an </w:t>
      </w:r>
      <w:r w:rsidR="00C326F3" w:rsidRPr="00B16F7E">
        <w:rPr>
          <w:rFonts w:ascii="Century Schoolbook" w:hAnsi="Century Schoolbook"/>
          <w:sz w:val="26"/>
          <w:szCs w:val="26"/>
        </w:rPr>
        <w:t>“unauthorized sentence”</w:t>
      </w:r>
      <w:r w:rsidRPr="00B16F7E">
        <w:rPr>
          <w:rFonts w:ascii="Century Schoolbook" w:hAnsi="Century Schoolbook"/>
          <w:sz w:val="26"/>
          <w:szCs w:val="26"/>
        </w:rPr>
        <w:t xml:space="preserve"> under the Court’s 2000 </w:t>
      </w:r>
      <w:r w:rsidRPr="00B16F7E">
        <w:rPr>
          <w:rFonts w:ascii="Century Schoolbook" w:hAnsi="Century Schoolbook"/>
          <w:i/>
          <w:sz w:val="26"/>
          <w:szCs w:val="26"/>
        </w:rPr>
        <w:t>Mancebo</w:t>
      </w:r>
      <w:r w:rsidRPr="00B16F7E">
        <w:rPr>
          <w:rFonts w:ascii="Century Schoolbook" w:hAnsi="Century Schoolbook"/>
          <w:sz w:val="26"/>
          <w:szCs w:val="26"/>
        </w:rPr>
        <w:t xml:space="preserve"> opinion (discussed in </w:t>
      </w:r>
      <w:r w:rsidR="00C326F3" w:rsidRPr="00B16F7E">
        <w:rPr>
          <w:rFonts w:ascii="Century Schoolbook" w:hAnsi="Century Schoolbook"/>
          <w:sz w:val="26"/>
          <w:szCs w:val="26"/>
        </w:rPr>
        <w:t xml:space="preserve">Elusive Exceptions, </w:t>
      </w:r>
      <w:r w:rsidRPr="00B16F7E">
        <w:rPr>
          <w:rFonts w:ascii="Century Schoolbook" w:hAnsi="Century Schoolbook"/>
          <w:sz w:val="26"/>
          <w:szCs w:val="26"/>
        </w:rPr>
        <w:t xml:space="preserve">pp. 2-3).  </w:t>
      </w:r>
      <w:r w:rsidR="00A43F1C">
        <w:rPr>
          <w:rFonts w:ascii="Century Schoolbook" w:hAnsi="Century Schoolbook"/>
          <w:sz w:val="26"/>
          <w:szCs w:val="26"/>
        </w:rPr>
        <w:t>“</w:t>
      </w:r>
      <w:r w:rsidRPr="00B16F7E">
        <w:rPr>
          <w:rFonts w:ascii="Century Schoolbook" w:hAnsi="Century Schoolbook"/>
          <w:i/>
          <w:sz w:val="26"/>
          <w:szCs w:val="26"/>
        </w:rPr>
        <w:t>Mancebo</w:t>
      </w:r>
      <w:r w:rsidRPr="00B16F7E">
        <w:rPr>
          <w:rFonts w:ascii="Century Schoolbook" w:hAnsi="Century Schoolbook"/>
          <w:sz w:val="26"/>
          <w:szCs w:val="26"/>
        </w:rPr>
        <w:t xml:space="preserve"> does not stand for </w:t>
      </w:r>
      <w:r w:rsidR="00A43F1C">
        <w:rPr>
          <w:rFonts w:ascii="Century Schoolbook" w:hAnsi="Century Schoolbook"/>
          <w:sz w:val="26"/>
          <w:szCs w:val="26"/>
        </w:rPr>
        <w:t>t</w:t>
      </w:r>
      <w:r w:rsidRPr="00B16F7E">
        <w:rPr>
          <w:rFonts w:ascii="Century Schoolbook" w:hAnsi="Century Schoolbook"/>
          <w:sz w:val="26"/>
          <w:szCs w:val="26"/>
        </w:rPr>
        <w:t xml:space="preserve">he broad proposition that imposition of an unpleaded enhancement necessarily results in an unauthorized sentence that may be raised, and corrected for the first time on appeal.” </w:t>
      </w:r>
      <w:r w:rsidRPr="00B16F7E">
        <w:rPr>
          <w:rFonts w:ascii="Century Schoolbook" w:hAnsi="Century Schoolbook"/>
          <w:i/>
          <w:sz w:val="26"/>
          <w:szCs w:val="26"/>
        </w:rPr>
        <w:t>Anderson</w:t>
      </w:r>
      <w:r w:rsidRPr="00B16F7E">
        <w:rPr>
          <w:rFonts w:ascii="Century Schoolbook" w:hAnsi="Century Schoolbook"/>
          <w:sz w:val="26"/>
          <w:szCs w:val="26"/>
        </w:rPr>
        <w:t>, 9 Cal.5</w:t>
      </w:r>
      <w:r w:rsidRPr="00B16F7E">
        <w:rPr>
          <w:rFonts w:ascii="Century Schoolbook" w:hAnsi="Century Schoolbook"/>
          <w:sz w:val="26"/>
          <w:szCs w:val="26"/>
          <w:vertAlign w:val="superscript"/>
        </w:rPr>
        <w:t>th</w:t>
      </w:r>
      <w:r w:rsidRPr="00B16F7E">
        <w:rPr>
          <w:rFonts w:ascii="Century Schoolbook" w:hAnsi="Century Schoolbook"/>
          <w:sz w:val="26"/>
          <w:szCs w:val="26"/>
        </w:rPr>
        <w:t xml:space="preserve"> at 962.</w:t>
      </w:r>
    </w:p>
    <w:p w:rsidR="00150FF2" w:rsidRPr="00150FF2" w:rsidRDefault="00150FF2" w:rsidP="00150FF2">
      <w:pPr>
        <w:pStyle w:val="ListParagraph"/>
        <w:rPr>
          <w:rFonts w:ascii="Century Schoolbook" w:hAnsi="Century Schoolbook"/>
          <w:sz w:val="26"/>
          <w:szCs w:val="26"/>
        </w:rPr>
      </w:pPr>
    </w:p>
    <w:p w:rsidR="00150FF2" w:rsidRDefault="00150FF2" w:rsidP="00150FF2">
      <w:pPr>
        <w:spacing w:after="0"/>
        <w:rPr>
          <w:rFonts w:ascii="Century Schoolbook" w:hAnsi="Century Schoolbook"/>
          <w:sz w:val="26"/>
          <w:szCs w:val="26"/>
        </w:rPr>
      </w:pPr>
      <w:r>
        <w:rPr>
          <w:rFonts w:ascii="Century Schoolbook" w:hAnsi="Century Schoolbook"/>
          <w:b/>
          <w:sz w:val="26"/>
          <w:szCs w:val="26"/>
        </w:rPr>
        <w:t>Cautionary instructions and other instructions on certain categories of evidence.</w:t>
      </w:r>
      <w:r>
        <w:rPr>
          <w:rFonts w:ascii="Century Schoolbook" w:hAnsi="Century Schoolbook"/>
          <w:sz w:val="26"/>
          <w:szCs w:val="26"/>
        </w:rPr>
        <w:t xml:space="preserve">  See Elusive Exceptions, p. 4.</w:t>
      </w:r>
    </w:p>
    <w:p w:rsidR="00150FF2" w:rsidRDefault="00150FF2" w:rsidP="00150FF2">
      <w:pPr>
        <w:spacing w:after="0"/>
        <w:rPr>
          <w:rFonts w:ascii="Century Schoolbook" w:hAnsi="Century Schoolbook"/>
          <w:sz w:val="26"/>
          <w:szCs w:val="26"/>
        </w:rPr>
      </w:pPr>
    </w:p>
    <w:p w:rsidR="00150FF2" w:rsidRDefault="00150FF2" w:rsidP="00150FF2">
      <w:pPr>
        <w:pStyle w:val="ListParagraph"/>
        <w:numPr>
          <w:ilvl w:val="0"/>
          <w:numId w:val="2"/>
        </w:numPr>
        <w:spacing w:after="0"/>
        <w:rPr>
          <w:rFonts w:ascii="Century Schoolbook" w:hAnsi="Century Schoolbook"/>
          <w:sz w:val="26"/>
          <w:szCs w:val="26"/>
        </w:rPr>
      </w:pPr>
      <w:r>
        <w:rPr>
          <w:rFonts w:ascii="Century Schoolbook" w:hAnsi="Century Schoolbook"/>
          <w:b/>
          <w:sz w:val="26"/>
          <w:szCs w:val="26"/>
        </w:rPr>
        <w:t xml:space="preserve">Cautionary instructions on oral admissions </w:t>
      </w:r>
      <w:r>
        <w:rPr>
          <w:rFonts w:ascii="Century Schoolbook" w:hAnsi="Century Schoolbook"/>
          <w:b/>
          <w:sz w:val="26"/>
          <w:szCs w:val="26"/>
          <w:u w:val="single"/>
        </w:rPr>
        <w:t>not</w:t>
      </w:r>
      <w:r>
        <w:rPr>
          <w:rFonts w:ascii="Century Schoolbook" w:hAnsi="Century Schoolbook"/>
          <w:b/>
          <w:sz w:val="26"/>
          <w:szCs w:val="26"/>
        </w:rPr>
        <w:t xml:space="preserve"> sua sponte; must be requested.</w:t>
      </w:r>
      <w:r>
        <w:rPr>
          <w:rFonts w:ascii="Century Schoolbook" w:hAnsi="Century Schoolbook"/>
          <w:sz w:val="26"/>
          <w:szCs w:val="26"/>
        </w:rPr>
        <w:t xml:space="preserve">  </w:t>
      </w:r>
      <w:r>
        <w:rPr>
          <w:rFonts w:ascii="Century Schoolbook" w:hAnsi="Century Schoolbook"/>
          <w:i/>
          <w:sz w:val="26"/>
          <w:szCs w:val="26"/>
        </w:rPr>
        <w:t>People v. Diaz</w:t>
      </w:r>
      <w:r>
        <w:rPr>
          <w:rFonts w:ascii="Century Schoolbook" w:hAnsi="Century Schoolbook"/>
          <w:sz w:val="26"/>
          <w:szCs w:val="26"/>
        </w:rPr>
        <w:t xml:space="preserve"> (2015) 60 Cal.4</w:t>
      </w:r>
      <w:r w:rsidRPr="00150FF2">
        <w:rPr>
          <w:rFonts w:ascii="Century Schoolbook" w:hAnsi="Century Schoolbook"/>
          <w:sz w:val="26"/>
          <w:szCs w:val="26"/>
          <w:vertAlign w:val="superscript"/>
        </w:rPr>
        <w:t>th</w:t>
      </w:r>
      <w:r>
        <w:rPr>
          <w:rFonts w:ascii="Century Schoolbook" w:hAnsi="Century Schoolbook"/>
          <w:sz w:val="26"/>
          <w:szCs w:val="26"/>
        </w:rPr>
        <w:t xml:space="preserve"> 1176, </w:t>
      </w:r>
      <w:r w:rsidR="00910D75">
        <w:rPr>
          <w:rFonts w:ascii="Century Schoolbook" w:hAnsi="Century Schoolbook"/>
          <w:sz w:val="26"/>
          <w:szCs w:val="26"/>
        </w:rPr>
        <w:t xml:space="preserve">1188-1195.  </w:t>
      </w:r>
      <w:r w:rsidR="00910D75" w:rsidRPr="00910D75">
        <w:rPr>
          <w:rFonts w:ascii="Century Schoolbook" w:hAnsi="Century Schoolbook"/>
          <w:i/>
          <w:sz w:val="26"/>
          <w:szCs w:val="26"/>
        </w:rPr>
        <w:t>Most</w:t>
      </w:r>
      <w:r w:rsidR="00910D75">
        <w:rPr>
          <w:rFonts w:ascii="Century Schoolbook" w:hAnsi="Century Schoolbook"/>
          <w:sz w:val="26"/>
          <w:szCs w:val="26"/>
        </w:rPr>
        <w:t xml:space="preserve"> cautionary, limiting, and “pinpoint” instructions do </w:t>
      </w:r>
      <w:r w:rsidR="00910D75">
        <w:rPr>
          <w:rFonts w:ascii="Century Schoolbook" w:hAnsi="Century Schoolbook"/>
          <w:i/>
          <w:sz w:val="26"/>
          <w:szCs w:val="26"/>
        </w:rPr>
        <w:t>not</w:t>
      </w:r>
      <w:r w:rsidR="00910D75">
        <w:rPr>
          <w:rFonts w:ascii="Century Schoolbook" w:hAnsi="Century Schoolbook"/>
          <w:sz w:val="26"/>
          <w:szCs w:val="26"/>
        </w:rPr>
        <w:t xml:space="preserve"> come within a trial court’s sua sponte instructional duties.  However, for years, California case law did require a court to instruct sua sponte that evidence of a defendant’s oral admissions or other incriminating statements should be viewed with caution if the statement was not recorded. </w:t>
      </w:r>
      <w:r w:rsidR="00A43F1C">
        <w:rPr>
          <w:rFonts w:ascii="Century Schoolbook" w:hAnsi="Century Schoolbook"/>
          <w:sz w:val="26"/>
          <w:szCs w:val="26"/>
        </w:rPr>
        <w:t>See</w:t>
      </w:r>
      <w:r w:rsidR="00910D75">
        <w:rPr>
          <w:rFonts w:ascii="Century Schoolbook" w:hAnsi="Century Schoolbook"/>
          <w:sz w:val="26"/>
          <w:szCs w:val="26"/>
        </w:rPr>
        <w:t xml:space="preserve"> CALCRIM 358. In </w:t>
      </w:r>
      <w:r w:rsidR="00910D75">
        <w:rPr>
          <w:rFonts w:ascii="Century Schoolbook" w:hAnsi="Century Schoolbook"/>
          <w:i/>
          <w:sz w:val="26"/>
          <w:szCs w:val="26"/>
        </w:rPr>
        <w:t>Diaz</w:t>
      </w:r>
      <w:r w:rsidR="00910D75">
        <w:rPr>
          <w:rFonts w:ascii="Century Schoolbook" w:hAnsi="Century Schoolbook"/>
          <w:sz w:val="26"/>
          <w:szCs w:val="26"/>
        </w:rPr>
        <w:t>, the Supreme Court overruled these prior authorities and held that a court is only required to deliver a cautionary instruction o</w:t>
      </w:r>
      <w:r w:rsidR="00A43F1C">
        <w:rPr>
          <w:rFonts w:ascii="Century Schoolbook" w:hAnsi="Century Schoolbook"/>
          <w:sz w:val="26"/>
          <w:szCs w:val="26"/>
        </w:rPr>
        <w:t>n</w:t>
      </w:r>
      <w:r w:rsidR="00910D75">
        <w:rPr>
          <w:rFonts w:ascii="Century Schoolbook" w:hAnsi="Century Schoolbook"/>
          <w:sz w:val="26"/>
          <w:szCs w:val="26"/>
        </w:rPr>
        <w:t xml:space="preserve"> oral admissions if the defense specifically requests such an instruction.</w:t>
      </w:r>
    </w:p>
    <w:p w:rsidR="008A0B89" w:rsidRPr="00150FF2" w:rsidRDefault="00A179F9" w:rsidP="00150FF2">
      <w:pPr>
        <w:pStyle w:val="ListParagraph"/>
        <w:numPr>
          <w:ilvl w:val="0"/>
          <w:numId w:val="2"/>
        </w:numPr>
        <w:spacing w:after="0"/>
        <w:rPr>
          <w:rFonts w:ascii="Century Schoolbook" w:hAnsi="Century Schoolbook"/>
          <w:sz w:val="26"/>
          <w:szCs w:val="26"/>
        </w:rPr>
      </w:pPr>
      <w:r>
        <w:rPr>
          <w:rFonts w:ascii="Century Schoolbook" w:hAnsi="Century Schoolbook"/>
          <w:b/>
          <w:sz w:val="26"/>
          <w:szCs w:val="26"/>
        </w:rPr>
        <w:lastRenderedPageBreak/>
        <w:t xml:space="preserve">Accomplice instructions still within sua sponte duties. </w:t>
      </w:r>
      <w:r>
        <w:rPr>
          <w:rFonts w:ascii="Century Schoolbook" w:hAnsi="Century Schoolbook"/>
          <w:sz w:val="26"/>
          <w:szCs w:val="26"/>
        </w:rPr>
        <w:t xml:space="preserve">In contrast, the Supreme Court continues to require sua sponte </w:t>
      </w:r>
      <w:r w:rsidR="00A43F1C">
        <w:rPr>
          <w:rFonts w:ascii="Century Schoolbook" w:hAnsi="Century Schoolbook"/>
          <w:sz w:val="26"/>
          <w:szCs w:val="26"/>
        </w:rPr>
        <w:t>instruction</w:t>
      </w:r>
      <w:r>
        <w:rPr>
          <w:rFonts w:ascii="Century Schoolbook" w:hAnsi="Century Schoolbook"/>
          <w:sz w:val="26"/>
          <w:szCs w:val="26"/>
        </w:rPr>
        <w:t xml:space="preserve">s on the principles governing review of accomplice testimony where there is sufficient evidence to support a finding that a prosecution witness was an accomplice to the charged offense.  </w:t>
      </w:r>
      <w:r>
        <w:rPr>
          <w:rFonts w:ascii="Century Schoolbook" w:hAnsi="Century Schoolbook"/>
          <w:i/>
          <w:sz w:val="26"/>
          <w:szCs w:val="26"/>
        </w:rPr>
        <w:t>Diaz</w:t>
      </w:r>
      <w:r>
        <w:rPr>
          <w:rFonts w:ascii="Century Schoolbook" w:hAnsi="Century Schoolbook"/>
          <w:sz w:val="26"/>
          <w:szCs w:val="26"/>
        </w:rPr>
        <w:t>, 60 Cal.4</w:t>
      </w:r>
      <w:r w:rsidRPr="00A179F9">
        <w:rPr>
          <w:rFonts w:ascii="Century Schoolbook" w:hAnsi="Century Schoolbook"/>
          <w:sz w:val="26"/>
          <w:szCs w:val="26"/>
          <w:vertAlign w:val="superscript"/>
        </w:rPr>
        <w:t>th</w:t>
      </w:r>
      <w:r>
        <w:rPr>
          <w:rFonts w:ascii="Century Schoolbook" w:hAnsi="Century Schoolbook"/>
          <w:sz w:val="26"/>
          <w:szCs w:val="26"/>
        </w:rPr>
        <w:t xml:space="preserve"> at 1193-1194; see </w:t>
      </w:r>
      <w:r>
        <w:rPr>
          <w:rFonts w:ascii="Century Schoolbook" w:hAnsi="Century Schoolbook"/>
          <w:i/>
          <w:sz w:val="26"/>
          <w:szCs w:val="26"/>
        </w:rPr>
        <w:t>People v. Guinan</w:t>
      </w:r>
      <w:r>
        <w:rPr>
          <w:rFonts w:ascii="Century Schoolbook" w:hAnsi="Century Schoolbook"/>
          <w:sz w:val="26"/>
          <w:szCs w:val="26"/>
        </w:rPr>
        <w:t xml:space="preserve"> (1998) 18 Cal.4</w:t>
      </w:r>
      <w:r w:rsidRPr="00A179F9">
        <w:rPr>
          <w:rFonts w:ascii="Century Schoolbook" w:hAnsi="Century Schoolbook"/>
          <w:sz w:val="26"/>
          <w:szCs w:val="26"/>
          <w:vertAlign w:val="superscript"/>
        </w:rPr>
        <w:t>th</w:t>
      </w:r>
      <w:r>
        <w:rPr>
          <w:rFonts w:ascii="Century Schoolbook" w:hAnsi="Century Schoolbook"/>
          <w:sz w:val="26"/>
          <w:szCs w:val="26"/>
        </w:rPr>
        <w:t xml:space="preserve"> 558 (discussed in </w:t>
      </w:r>
      <w:r>
        <w:rPr>
          <w:rFonts w:ascii="Century Schoolbook" w:hAnsi="Century Schoolbook"/>
          <w:i/>
          <w:sz w:val="26"/>
          <w:szCs w:val="26"/>
        </w:rPr>
        <w:t>Diaz</w:t>
      </w:r>
      <w:r>
        <w:rPr>
          <w:rFonts w:ascii="Century Schoolbook" w:hAnsi="Century Schoolbook"/>
          <w:sz w:val="26"/>
          <w:szCs w:val="26"/>
        </w:rPr>
        <w:t>).  These include the rules requiring corroboration of accomplice testimony and the admonition that such testimony should be viewed with “care and caution.”  See CALCRIM 334-335.</w:t>
      </w:r>
    </w:p>
    <w:p w:rsidR="00B16F7E" w:rsidRPr="00B16F7E" w:rsidRDefault="00B16F7E" w:rsidP="00B16F7E">
      <w:pPr>
        <w:spacing w:after="0"/>
        <w:rPr>
          <w:rFonts w:ascii="Century Schoolbook" w:hAnsi="Century Schoolbook"/>
          <w:sz w:val="26"/>
          <w:szCs w:val="26"/>
        </w:rPr>
      </w:pPr>
    </w:p>
    <w:p w:rsidR="006B2400" w:rsidRDefault="006B2400" w:rsidP="00B16F7E">
      <w:pPr>
        <w:rPr>
          <w:rFonts w:ascii="Century Schoolbook" w:hAnsi="Century Schoolbook"/>
          <w:sz w:val="26"/>
          <w:szCs w:val="26"/>
        </w:rPr>
      </w:pPr>
      <w:r w:rsidRPr="00AF2D16">
        <w:rPr>
          <w:rFonts w:ascii="Century Schoolbook" w:hAnsi="Century Schoolbook"/>
          <w:b/>
          <w:sz w:val="26"/>
          <w:szCs w:val="26"/>
        </w:rPr>
        <w:t>Discretion to review prosecutorial misconduct.</w:t>
      </w:r>
      <w:r w:rsidRPr="00AF2D16">
        <w:rPr>
          <w:rFonts w:ascii="Century Schoolbook" w:hAnsi="Century Schoolbook"/>
          <w:sz w:val="26"/>
          <w:szCs w:val="26"/>
        </w:rPr>
        <w:t xml:space="preserve">  See Elusive Exceptions, p. 11.</w:t>
      </w:r>
    </w:p>
    <w:p w:rsidR="006B2400" w:rsidRDefault="006B2400" w:rsidP="00AF2D16">
      <w:pPr>
        <w:pStyle w:val="ListParagraph"/>
        <w:numPr>
          <w:ilvl w:val="0"/>
          <w:numId w:val="1"/>
        </w:numPr>
        <w:rPr>
          <w:rFonts w:ascii="Century Schoolbook" w:hAnsi="Century Schoolbook"/>
          <w:sz w:val="26"/>
          <w:szCs w:val="26"/>
        </w:rPr>
      </w:pPr>
      <w:r>
        <w:rPr>
          <w:rFonts w:ascii="Century Schoolbook" w:hAnsi="Century Schoolbook"/>
          <w:sz w:val="26"/>
          <w:szCs w:val="26"/>
        </w:rPr>
        <w:t xml:space="preserve">E.g., </w:t>
      </w:r>
      <w:r>
        <w:rPr>
          <w:rFonts w:ascii="Century Schoolbook" w:hAnsi="Century Schoolbook"/>
          <w:i/>
          <w:sz w:val="26"/>
          <w:szCs w:val="26"/>
        </w:rPr>
        <w:t>People v. Denard</w:t>
      </w:r>
      <w:r>
        <w:rPr>
          <w:rFonts w:ascii="Century Schoolbook" w:hAnsi="Century Schoolbook"/>
          <w:sz w:val="26"/>
          <w:szCs w:val="26"/>
        </w:rPr>
        <w:t xml:space="preserve"> (2015) 242 Cal.App.4</w:t>
      </w:r>
      <w:r w:rsidRPr="006B2400">
        <w:rPr>
          <w:rFonts w:ascii="Century Schoolbook" w:hAnsi="Century Schoolbook"/>
          <w:sz w:val="26"/>
          <w:szCs w:val="26"/>
          <w:vertAlign w:val="superscript"/>
        </w:rPr>
        <w:t>th</w:t>
      </w:r>
      <w:r>
        <w:rPr>
          <w:rFonts w:ascii="Century Schoolbook" w:hAnsi="Century Schoolbook"/>
          <w:sz w:val="26"/>
          <w:szCs w:val="26"/>
        </w:rPr>
        <w:t xml:space="preserve"> 1012, 1092 (appellate court exercises discretion to consider unobjected-to misconduct affecting “substantial rights” – prosecutor’s argument that defendant </w:t>
      </w:r>
      <w:r w:rsidR="00AF2D16">
        <w:rPr>
          <w:rFonts w:ascii="Century Schoolbook" w:hAnsi="Century Schoolbook"/>
          <w:sz w:val="26"/>
          <w:szCs w:val="26"/>
        </w:rPr>
        <w:t>“does not want to take responsibility for his actio</w:t>
      </w:r>
      <w:r w:rsidR="00AF2D16" w:rsidRPr="00AF2D16">
        <w:rPr>
          <w:rFonts w:ascii="Century Schoolbook" w:hAnsi="Century Schoolbook"/>
          <w:sz w:val="26"/>
          <w:szCs w:val="26"/>
        </w:rPr>
        <w:t xml:space="preserve">ns” amounted to comment on his failure to testify, </w:t>
      </w:r>
      <w:r w:rsidR="00AF2D16" w:rsidRPr="00AF2D16">
        <w:rPr>
          <w:rFonts w:ascii="Century Schoolbook" w:hAnsi="Century Schoolbook"/>
          <w:i/>
          <w:sz w:val="26"/>
          <w:szCs w:val="26"/>
        </w:rPr>
        <w:t>Griffin</w:t>
      </w:r>
      <w:r w:rsidR="00AF2D16" w:rsidRPr="00AF2D16">
        <w:rPr>
          <w:rFonts w:ascii="Century Schoolbook" w:hAnsi="Century Schoolbook"/>
          <w:sz w:val="26"/>
          <w:szCs w:val="26"/>
        </w:rPr>
        <w:t xml:space="preserve"> error).</w:t>
      </w:r>
    </w:p>
    <w:p w:rsidR="00AF2D16" w:rsidRDefault="00AF2D16" w:rsidP="00AF2D16">
      <w:pPr>
        <w:rPr>
          <w:rFonts w:ascii="Century Schoolbook" w:hAnsi="Century Schoolbook"/>
          <w:sz w:val="26"/>
          <w:szCs w:val="26"/>
        </w:rPr>
      </w:pPr>
      <w:r>
        <w:rPr>
          <w:rFonts w:ascii="Century Schoolbook" w:hAnsi="Century Schoolbook"/>
          <w:b/>
          <w:sz w:val="26"/>
          <w:szCs w:val="26"/>
        </w:rPr>
        <w:t>Discretion to review error where circumstances impeded counsel’s opportunity to object.</w:t>
      </w:r>
    </w:p>
    <w:p w:rsidR="00807DC8" w:rsidRPr="00807DC8" w:rsidRDefault="00AF2D16" w:rsidP="00B16F7E">
      <w:pPr>
        <w:pStyle w:val="ListParagraph"/>
        <w:numPr>
          <w:ilvl w:val="0"/>
          <w:numId w:val="1"/>
        </w:numPr>
        <w:rPr>
          <w:rFonts w:ascii="Century Schoolbook" w:hAnsi="Century Schoolbook"/>
          <w:sz w:val="26"/>
          <w:szCs w:val="26"/>
        </w:rPr>
      </w:pPr>
      <w:r w:rsidRPr="00D707F8">
        <w:rPr>
          <w:rFonts w:ascii="Century Schoolbook" w:hAnsi="Century Schoolbook"/>
          <w:i/>
          <w:sz w:val="26"/>
          <w:szCs w:val="26"/>
        </w:rPr>
        <w:t>People v. Young</w:t>
      </w:r>
      <w:r w:rsidRPr="00D707F8">
        <w:rPr>
          <w:rFonts w:ascii="Century Schoolbook" w:hAnsi="Century Schoolbook"/>
          <w:sz w:val="26"/>
          <w:szCs w:val="26"/>
        </w:rPr>
        <w:t xml:space="preserve"> (2017) 17 Cal.App.5</w:t>
      </w:r>
      <w:r w:rsidRPr="00D707F8">
        <w:rPr>
          <w:rFonts w:ascii="Century Schoolbook" w:hAnsi="Century Schoolbook"/>
          <w:sz w:val="26"/>
          <w:szCs w:val="26"/>
          <w:vertAlign w:val="superscript"/>
        </w:rPr>
        <w:t>th</w:t>
      </w:r>
      <w:r w:rsidRPr="00D707F8">
        <w:rPr>
          <w:rFonts w:ascii="Century Schoolbook" w:hAnsi="Century Schoolbook"/>
          <w:sz w:val="26"/>
          <w:szCs w:val="26"/>
        </w:rPr>
        <w:t xml:space="preserve"> 451, 461-463.  Due to defense counsel’s illness, only “stand-in counsel</w:t>
      </w:r>
      <w:r w:rsidR="00A43F1C">
        <w:rPr>
          <w:rFonts w:ascii="Century Schoolbook" w:hAnsi="Century Schoolbook"/>
          <w:sz w:val="26"/>
          <w:szCs w:val="26"/>
        </w:rPr>
        <w:t>,</w:t>
      </w:r>
      <w:r w:rsidRPr="00D707F8">
        <w:rPr>
          <w:rFonts w:ascii="Century Schoolbook" w:hAnsi="Century Schoolbook"/>
          <w:sz w:val="26"/>
          <w:szCs w:val="26"/>
        </w:rPr>
        <w:t>” who was not familiar with case</w:t>
      </w:r>
      <w:r w:rsidR="00A43F1C">
        <w:rPr>
          <w:rFonts w:ascii="Century Schoolbook" w:hAnsi="Century Schoolbook"/>
          <w:sz w:val="26"/>
          <w:szCs w:val="26"/>
        </w:rPr>
        <w:t>,</w:t>
      </w:r>
      <w:r w:rsidRPr="00D707F8">
        <w:rPr>
          <w:rFonts w:ascii="Century Schoolbook" w:hAnsi="Century Schoolbook"/>
          <w:sz w:val="26"/>
          <w:szCs w:val="26"/>
        </w:rPr>
        <w:t xml:space="preserve"> was present when court </w:t>
      </w:r>
      <w:r w:rsidR="00A43F1C">
        <w:rPr>
          <w:rFonts w:ascii="Century Schoolbook" w:hAnsi="Century Schoolbook"/>
          <w:sz w:val="26"/>
          <w:szCs w:val="26"/>
        </w:rPr>
        <w:t xml:space="preserve">announced it had </w:t>
      </w:r>
      <w:r w:rsidRPr="00D707F8">
        <w:rPr>
          <w:rFonts w:ascii="Century Schoolbook" w:hAnsi="Century Schoolbook"/>
          <w:sz w:val="26"/>
          <w:szCs w:val="26"/>
        </w:rPr>
        <w:t>excused a juror who hadn’t arrived and substituted an alternative</w:t>
      </w:r>
      <w:r w:rsidR="00D707F8" w:rsidRPr="00D707F8">
        <w:rPr>
          <w:rFonts w:ascii="Century Schoolbook" w:hAnsi="Century Schoolbook"/>
          <w:sz w:val="26"/>
          <w:szCs w:val="26"/>
        </w:rPr>
        <w:t xml:space="preserve">.  Although defense counsel did not object to the removal when she returned the following day, </w:t>
      </w:r>
      <w:r w:rsidR="00D707F8">
        <w:rPr>
          <w:rFonts w:ascii="Century Schoolbook" w:hAnsi="Century Schoolbook"/>
          <w:sz w:val="26"/>
          <w:szCs w:val="26"/>
        </w:rPr>
        <w:t>the forfeiture question was difficult because counsel may have believed that it would have been futile to do so after the fact.  Because the removal of the juror affected the defendant’s constitutional rights, the appellate court exercised its discretion to review the issue.</w:t>
      </w:r>
      <w:r w:rsidR="00B16F7E" w:rsidRPr="00807DC8">
        <w:rPr>
          <w:rFonts w:ascii="Century Schoolbook" w:hAnsi="Century Schoolbook"/>
          <w:sz w:val="26"/>
          <w:szCs w:val="26"/>
        </w:rPr>
        <w:t xml:space="preserve"> </w:t>
      </w:r>
    </w:p>
    <w:sectPr w:rsidR="00807DC8" w:rsidRPr="00807D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CD" w:rsidRDefault="001348CD" w:rsidP="001348CD">
      <w:pPr>
        <w:spacing w:after="0" w:line="240" w:lineRule="auto"/>
      </w:pPr>
      <w:r>
        <w:separator/>
      </w:r>
    </w:p>
  </w:endnote>
  <w:endnote w:type="continuationSeparator" w:id="0">
    <w:p w:rsidR="001348CD" w:rsidRDefault="001348CD" w:rsidP="0013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3598"/>
      <w:docPartObj>
        <w:docPartGallery w:val="Page Numbers (Bottom of Page)"/>
        <w:docPartUnique/>
      </w:docPartObj>
    </w:sdtPr>
    <w:sdtEndPr>
      <w:rPr>
        <w:noProof/>
      </w:rPr>
    </w:sdtEndPr>
    <w:sdtContent>
      <w:p w:rsidR="001348CD" w:rsidRDefault="001348CD">
        <w:pPr>
          <w:pStyle w:val="Footer"/>
          <w:jc w:val="center"/>
        </w:pPr>
        <w:r>
          <w:fldChar w:fldCharType="begin"/>
        </w:r>
        <w:r>
          <w:instrText xml:space="preserve"> PAGE   \* MERGEFORMAT </w:instrText>
        </w:r>
        <w:r>
          <w:fldChar w:fldCharType="separate"/>
        </w:r>
        <w:r w:rsidR="009153F3">
          <w:rPr>
            <w:noProof/>
          </w:rPr>
          <w:t>1</w:t>
        </w:r>
        <w:r>
          <w:rPr>
            <w:noProof/>
          </w:rPr>
          <w:fldChar w:fldCharType="end"/>
        </w:r>
      </w:p>
    </w:sdtContent>
  </w:sdt>
  <w:p w:rsidR="001348CD" w:rsidRDefault="0013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CD" w:rsidRDefault="001348CD" w:rsidP="001348CD">
      <w:pPr>
        <w:spacing w:after="0" w:line="240" w:lineRule="auto"/>
      </w:pPr>
      <w:r>
        <w:separator/>
      </w:r>
    </w:p>
  </w:footnote>
  <w:footnote w:type="continuationSeparator" w:id="0">
    <w:p w:rsidR="001348CD" w:rsidRDefault="001348CD" w:rsidP="00134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711A"/>
    <w:multiLevelType w:val="hybridMultilevel"/>
    <w:tmpl w:val="7AF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95D87"/>
    <w:multiLevelType w:val="hybridMultilevel"/>
    <w:tmpl w:val="8A3C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43"/>
    <w:rsid w:val="00003B72"/>
    <w:rsid w:val="00044242"/>
    <w:rsid w:val="001348CD"/>
    <w:rsid w:val="00150FF2"/>
    <w:rsid w:val="0015472B"/>
    <w:rsid w:val="00314943"/>
    <w:rsid w:val="0033407B"/>
    <w:rsid w:val="004F2207"/>
    <w:rsid w:val="00596251"/>
    <w:rsid w:val="006B2400"/>
    <w:rsid w:val="00807DC8"/>
    <w:rsid w:val="008A0B89"/>
    <w:rsid w:val="00910D75"/>
    <w:rsid w:val="009153F3"/>
    <w:rsid w:val="00A179F9"/>
    <w:rsid w:val="00A43F1C"/>
    <w:rsid w:val="00AF2D16"/>
    <w:rsid w:val="00B16F7E"/>
    <w:rsid w:val="00C326F3"/>
    <w:rsid w:val="00D707F8"/>
    <w:rsid w:val="00DA350F"/>
    <w:rsid w:val="00E0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943"/>
    <w:rPr>
      <w:color w:val="0563C1" w:themeColor="hyperlink"/>
      <w:u w:val="single"/>
    </w:rPr>
  </w:style>
  <w:style w:type="character" w:customStyle="1" w:styleId="UnresolvedMention">
    <w:name w:val="Unresolved Mention"/>
    <w:basedOn w:val="DefaultParagraphFont"/>
    <w:uiPriority w:val="99"/>
    <w:semiHidden/>
    <w:unhideWhenUsed/>
    <w:rsid w:val="00314943"/>
    <w:rPr>
      <w:color w:val="605E5C"/>
      <w:shd w:val="clear" w:color="auto" w:fill="E1DFDD"/>
    </w:rPr>
  </w:style>
  <w:style w:type="paragraph" w:styleId="ListParagraph">
    <w:name w:val="List Paragraph"/>
    <w:basedOn w:val="Normal"/>
    <w:uiPriority w:val="34"/>
    <w:qFormat/>
    <w:rsid w:val="00DA350F"/>
    <w:pPr>
      <w:ind w:left="720"/>
      <w:contextualSpacing/>
    </w:pPr>
  </w:style>
  <w:style w:type="paragraph" w:styleId="Header">
    <w:name w:val="header"/>
    <w:basedOn w:val="Normal"/>
    <w:link w:val="HeaderChar"/>
    <w:uiPriority w:val="99"/>
    <w:unhideWhenUsed/>
    <w:rsid w:val="0013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8CD"/>
  </w:style>
  <w:style w:type="paragraph" w:styleId="Footer">
    <w:name w:val="footer"/>
    <w:basedOn w:val="Normal"/>
    <w:link w:val="FooterChar"/>
    <w:uiPriority w:val="99"/>
    <w:unhideWhenUsed/>
    <w:rsid w:val="0013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943"/>
    <w:rPr>
      <w:color w:val="0563C1" w:themeColor="hyperlink"/>
      <w:u w:val="single"/>
    </w:rPr>
  </w:style>
  <w:style w:type="character" w:customStyle="1" w:styleId="UnresolvedMention">
    <w:name w:val="Unresolved Mention"/>
    <w:basedOn w:val="DefaultParagraphFont"/>
    <w:uiPriority w:val="99"/>
    <w:semiHidden/>
    <w:unhideWhenUsed/>
    <w:rsid w:val="00314943"/>
    <w:rPr>
      <w:color w:val="605E5C"/>
      <w:shd w:val="clear" w:color="auto" w:fill="E1DFDD"/>
    </w:rPr>
  </w:style>
  <w:style w:type="paragraph" w:styleId="ListParagraph">
    <w:name w:val="List Paragraph"/>
    <w:basedOn w:val="Normal"/>
    <w:uiPriority w:val="34"/>
    <w:qFormat/>
    <w:rsid w:val="00DA350F"/>
    <w:pPr>
      <w:ind w:left="720"/>
      <w:contextualSpacing/>
    </w:pPr>
  </w:style>
  <w:style w:type="paragraph" w:styleId="Header">
    <w:name w:val="header"/>
    <w:basedOn w:val="Normal"/>
    <w:link w:val="HeaderChar"/>
    <w:uiPriority w:val="99"/>
    <w:unhideWhenUsed/>
    <w:rsid w:val="0013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8CD"/>
  </w:style>
  <w:style w:type="paragraph" w:styleId="Footer">
    <w:name w:val="footer"/>
    <w:basedOn w:val="Normal"/>
    <w:link w:val="FooterChar"/>
    <w:uiPriority w:val="99"/>
    <w:unhideWhenUsed/>
    <w:rsid w:val="0013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c@fda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Brad O'Connell</dc:creator>
  <cp:lastModifiedBy>Jonathan Grossman</cp:lastModifiedBy>
  <cp:revision>2</cp:revision>
  <dcterms:created xsi:type="dcterms:W3CDTF">2020-11-10T16:42:00Z</dcterms:created>
  <dcterms:modified xsi:type="dcterms:W3CDTF">2020-11-10T16:42:00Z</dcterms:modified>
</cp:coreProperties>
</file>