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11251" w14:textId="0FE7260E" w:rsidR="00AB2D3D" w:rsidRDefault="00BC1FAA" w:rsidP="00BC1FAA">
      <w:pPr>
        <w:spacing w:line="360" w:lineRule="auto"/>
        <w:contextualSpacing/>
        <w:jc w:val="center"/>
        <w:rPr>
          <w:rFonts w:ascii="Garamond" w:hAnsi="Garamond"/>
          <w:b/>
          <w:bCs/>
          <w:sz w:val="26"/>
          <w:szCs w:val="26"/>
        </w:rPr>
      </w:pPr>
      <w:bookmarkStart w:id="0" w:name="_GoBack"/>
      <w:bookmarkEnd w:id="0"/>
      <w:r w:rsidRPr="00BE10AE">
        <w:rPr>
          <w:rFonts w:ascii="Garamond" w:hAnsi="Garamond"/>
          <w:b/>
          <w:bCs/>
          <w:sz w:val="26"/>
          <w:szCs w:val="26"/>
        </w:rPr>
        <w:t>Judicial Misconduct</w:t>
      </w:r>
      <w:r w:rsidR="00200493" w:rsidRPr="00BE10AE">
        <w:rPr>
          <w:rFonts w:ascii="Garamond" w:hAnsi="Garamond"/>
          <w:b/>
          <w:bCs/>
          <w:sz w:val="26"/>
          <w:szCs w:val="26"/>
        </w:rPr>
        <w:t xml:space="preserve">: </w:t>
      </w:r>
      <w:r w:rsidR="00BD108A" w:rsidRPr="00BE10AE">
        <w:rPr>
          <w:rFonts w:ascii="Garamond" w:hAnsi="Garamond"/>
          <w:b/>
          <w:bCs/>
          <w:sz w:val="26"/>
          <w:szCs w:val="26"/>
        </w:rPr>
        <w:t xml:space="preserve">When the Judge </w:t>
      </w:r>
      <w:r w:rsidR="00610230">
        <w:rPr>
          <w:rFonts w:ascii="Garamond" w:hAnsi="Garamond"/>
          <w:b/>
          <w:bCs/>
          <w:sz w:val="26"/>
          <w:szCs w:val="26"/>
        </w:rPr>
        <w:t>Bullies</w:t>
      </w:r>
      <w:r w:rsidR="00BD108A" w:rsidRPr="00BE10AE">
        <w:rPr>
          <w:rFonts w:ascii="Garamond" w:hAnsi="Garamond"/>
          <w:b/>
          <w:bCs/>
          <w:sz w:val="26"/>
          <w:szCs w:val="26"/>
        </w:rPr>
        <w:t xml:space="preserve"> the</w:t>
      </w:r>
      <w:r w:rsidR="00200493" w:rsidRPr="00BE10AE">
        <w:rPr>
          <w:rFonts w:ascii="Garamond" w:hAnsi="Garamond"/>
          <w:b/>
          <w:bCs/>
          <w:sz w:val="26"/>
          <w:szCs w:val="26"/>
        </w:rPr>
        <w:t xml:space="preserve"> Client, the Jury, and </w:t>
      </w:r>
      <w:r w:rsidR="00BD108A" w:rsidRPr="00BE10AE">
        <w:rPr>
          <w:rFonts w:ascii="Garamond" w:hAnsi="Garamond"/>
          <w:b/>
          <w:bCs/>
          <w:sz w:val="26"/>
          <w:szCs w:val="26"/>
        </w:rPr>
        <w:t>You</w:t>
      </w:r>
    </w:p>
    <w:p w14:paraId="5937EC18" w14:textId="5169283A" w:rsidR="002813F9" w:rsidRPr="00BE10AE" w:rsidRDefault="002813F9" w:rsidP="00BC1FAA">
      <w:pPr>
        <w:spacing w:line="360" w:lineRule="auto"/>
        <w:contextualSpacing/>
        <w:jc w:val="center"/>
        <w:rPr>
          <w:rFonts w:ascii="Garamond" w:hAnsi="Garamond"/>
          <w:b/>
          <w:bCs/>
          <w:sz w:val="26"/>
          <w:szCs w:val="26"/>
        </w:rPr>
      </w:pPr>
      <w:r>
        <w:rPr>
          <w:rFonts w:ascii="Garamond" w:hAnsi="Garamond"/>
          <w:b/>
          <w:bCs/>
          <w:sz w:val="26"/>
          <w:szCs w:val="26"/>
        </w:rPr>
        <w:t>By Joe Doyle</w:t>
      </w:r>
    </w:p>
    <w:p w14:paraId="23CBE2EC" w14:textId="06F687FB" w:rsidR="001B7938" w:rsidRPr="00BE10AE" w:rsidRDefault="00807B11" w:rsidP="00BC1FAA">
      <w:pPr>
        <w:spacing w:line="360" w:lineRule="auto"/>
        <w:ind w:firstLine="360"/>
        <w:contextualSpacing/>
        <w:rPr>
          <w:rFonts w:ascii="Garamond" w:hAnsi="Garamond"/>
          <w:sz w:val="26"/>
          <w:szCs w:val="26"/>
        </w:rPr>
      </w:pPr>
      <w:r w:rsidRPr="00BE10AE">
        <w:rPr>
          <w:rFonts w:ascii="Garamond" w:hAnsi="Garamond"/>
          <w:sz w:val="26"/>
          <w:szCs w:val="26"/>
        </w:rPr>
        <w:t xml:space="preserve">I started my </w:t>
      </w:r>
      <w:r w:rsidR="00257E4A" w:rsidRPr="00BE10AE">
        <w:rPr>
          <w:rFonts w:ascii="Garamond" w:hAnsi="Garamond"/>
          <w:sz w:val="26"/>
          <w:szCs w:val="26"/>
        </w:rPr>
        <w:t xml:space="preserve">legal </w:t>
      </w:r>
      <w:r w:rsidRPr="00BE10AE">
        <w:rPr>
          <w:rFonts w:ascii="Garamond" w:hAnsi="Garamond"/>
          <w:sz w:val="26"/>
          <w:szCs w:val="26"/>
        </w:rPr>
        <w:t xml:space="preserve">career as a </w:t>
      </w:r>
      <w:r w:rsidR="00C03076" w:rsidRPr="00BE10AE">
        <w:rPr>
          <w:rFonts w:ascii="Garamond" w:hAnsi="Garamond"/>
          <w:sz w:val="26"/>
          <w:szCs w:val="26"/>
        </w:rPr>
        <w:t xml:space="preserve">public defender in Staten Island. </w:t>
      </w:r>
      <w:r w:rsidR="00257E4A" w:rsidRPr="00BE10AE">
        <w:rPr>
          <w:rFonts w:ascii="Garamond" w:hAnsi="Garamond"/>
          <w:sz w:val="26"/>
          <w:szCs w:val="26"/>
        </w:rPr>
        <w:t>Most</w:t>
      </w:r>
      <w:r w:rsidR="00C32817" w:rsidRPr="00BE10AE">
        <w:rPr>
          <w:rFonts w:ascii="Garamond" w:hAnsi="Garamond"/>
          <w:sz w:val="26"/>
          <w:szCs w:val="26"/>
        </w:rPr>
        <w:t xml:space="preserve"> of my </w:t>
      </w:r>
      <w:r w:rsidR="00257E4A" w:rsidRPr="00BE10AE">
        <w:rPr>
          <w:rFonts w:ascii="Garamond" w:hAnsi="Garamond"/>
          <w:sz w:val="26"/>
          <w:szCs w:val="26"/>
        </w:rPr>
        <w:t xml:space="preserve">early </w:t>
      </w:r>
      <w:r w:rsidR="00C32817" w:rsidRPr="00BE10AE">
        <w:rPr>
          <w:rFonts w:ascii="Garamond" w:hAnsi="Garamond"/>
          <w:sz w:val="26"/>
          <w:szCs w:val="26"/>
        </w:rPr>
        <w:t xml:space="preserve">cases were misdemeanors, and all of them were handled by the same </w:t>
      </w:r>
      <w:r w:rsidR="00C13E2B" w:rsidRPr="00BE10AE">
        <w:rPr>
          <w:rFonts w:ascii="Garamond" w:hAnsi="Garamond"/>
          <w:sz w:val="26"/>
          <w:szCs w:val="26"/>
        </w:rPr>
        <w:t xml:space="preserve">stressed-out </w:t>
      </w:r>
      <w:r w:rsidR="00C32817" w:rsidRPr="00BE10AE">
        <w:rPr>
          <w:rFonts w:ascii="Garamond" w:hAnsi="Garamond"/>
          <w:sz w:val="26"/>
          <w:szCs w:val="26"/>
        </w:rPr>
        <w:t xml:space="preserve">judge in </w:t>
      </w:r>
      <w:r w:rsidR="00C91AC3" w:rsidRPr="00BE10AE">
        <w:rPr>
          <w:rFonts w:ascii="Garamond" w:hAnsi="Garamond"/>
          <w:sz w:val="26"/>
          <w:szCs w:val="26"/>
        </w:rPr>
        <w:t>a</w:t>
      </w:r>
      <w:r w:rsidR="00D861AD" w:rsidRPr="00BE10AE">
        <w:rPr>
          <w:rFonts w:ascii="Garamond" w:hAnsi="Garamond"/>
          <w:sz w:val="26"/>
          <w:szCs w:val="26"/>
        </w:rPr>
        <w:t xml:space="preserve"> small</w:t>
      </w:r>
      <w:r w:rsidR="00C03076" w:rsidRPr="00BE10AE">
        <w:rPr>
          <w:rFonts w:ascii="Garamond" w:hAnsi="Garamond"/>
          <w:sz w:val="26"/>
          <w:szCs w:val="26"/>
        </w:rPr>
        <w:t xml:space="preserve">, </w:t>
      </w:r>
      <w:r w:rsidR="00235CE1" w:rsidRPr="00BE10AE">
        <w:rPr>
          <w:rFonts w:ascii="Garamond" w:hAnsi="Garamond"/>
          <w:sz w:val="26"/>
          <w:szCs w:val="26"/>
        </w:rPr>
        <w:t xml:space="preserve">hot, </w:t>
      </w:r>
      <w:r w:rsidR="00C91AC3" w:rsidRPr="00BE10AE">
        <w:rPr>
          <w:rFonts w:ascii="Garamond" w:hAnsi="Garamond"/>
          <w:sz w:val="26"/>
          <w:szCs w:val="26"/>
        </w:rPr>
        <w:t xml:space="preserve">and </w:t>
      </w:r>
      <w:r w:rsidR="00235CE1" w:rsidRPr="00BE10AE">
        <w:rPr>
          <w:rFonts w:ascii="Garamond" w:hAnsi="Garamond"/>
          <w:sz w:val="26"/>
          <w:szCs w:val="26"/>
        </w:rPr>
        <w:t>over</w:t>
      </w:r>
      <w:r w:rsidR="00C03076" w:rsidRPr="00BE10AE">
        <w:rPr>
          <w:rFonts w:ascii="Garamond" w:hAnsi="Garamond"/>
          <w:sz w:val="26"/>
          <w:szCs w:val="26"/>
        </w:rPr>
        <w:t>crowded courtroom</w:t>
      </w:r>
      <w:r w:rsidR="006E0E5A" w:rsidRPr="00BE10AE">
        <w:rPr>
          <w:rFonts w:ascii="Garamond" w:hAnsi="Garamond"/>
          <w:sz w:val="26"/>
          <w:szCs w:val="26"/>
        </w:rPr>
        <w:t xml:space="preserve"> in </w:t>
      </w:r>
      <w:r w:rsidR="00DC582F" w:rsidRPr="00BE10AE">
        <w:rPr>
          <w:rFonts w:ascii="Garamond" w:hAnsi="Garamond"/>
          <w:sz w:val="26"/>
          <w:szCs w:val="26"/>
        </w:rPr>
        <w:t xml:space="preserve">a </w:t>
      </w:r>
      <w:r w:rsidR="006E0E5A" w:rsidRPr="00BE10AE">
        <w:rPr>
          <w:rFonts w:ascii="Garamond" w:hAnsi="Garamond"/>
          <w:sz w:val="26"/>
          <w:szCs w:val="26"/>
        </w:rPr>
        <w:t>run</w:t>
      </w:r>
      <w:r w:rsidR="00DC582F" w:rsidRPr="00BE10AE">
        <w:rPr>
          <w:rFonts w:ascii="Garamond" w:hAnsi="Garamond"/>
          <w:sz w:val="26"/>
          <w:szCs w:val="26"/>
        </w:rPr>
        <w:t>-down</w:t>
      </w:r>
      <w:r w:rsidR="00C91AC3" w:rsidRPr="00BE10AE">
        <w:rPr>
          <w:rFonts w:ascii="Garamond" w:hAnsi="Garamond"/>
          <w:sz w:val="26"/>
          <w:szCs w:val="26"/>
        </w:rPr>
        <w:t>, soon-to-be-replaced</w:t>
      </w:r>
      <w:r w:rsidR="00DC582F" w:rsidRPr="00BE10AE">
        <w:rPr>
          <w:rFonts w:ascii="Garamond" w:hAnsi="Garamond"/>
          <w:sz w:val="26"/>
          <w:szCs w:val="26"/>
        </w:rPr>
        <w:t xml:space="preserve"> courthouse </w:t>
      </w:r>
      <w:r w:rsidR="00C91AC3" w:rsidRPr="00BE10AE">
        <w:rPr>
          <w:rFonts w:ascii="Garamond" w:hAnsi="Garamond"/>
          <w:sz w:val="26"/>
          <w:szCs w:val="26"/>
        </w:rPr>
        <w:t>in</w:t>
      </w:r>
      <w:r w:rsidR="00D441E5" w:rsidRPr="00BE10AE">
        <w:rPr>
          <w:rFonts w:ascii="Garamond" w:hAnsi="Garamond"/>
          <w:sz w:val="26"/>
          <w:szCs w:val="26"/>
        </w:rPr>
        <w:t xml:space="preserve"> </w:t>
      </w:r>
      <w:r w:rsidR="00D861AD" w:rsidRPr="00BE10AE">
        <w:rPr>
          <w:rFonts w:ascii="Garamond" w:hAnsi="Garamond"/>
          <w:sz w:val="26"/>
          <w:szCs w:val="26"/>
        </w:rPr>
        <w:t xml:space="preserve">the middle of </w:t>
      </w:r>
      <w:r w:rsidR="009801D8" w:rsidRPr="00BE10AE">
        <w:rPr>
          <w:rFonts w:ascii="Garamond" w:hAnsi="Garamond"/>
          <w:sz w:val="26"/>
          <w:szCs w:val="26"/>
        </w:rPr>
        <w:t>Staten Island</w:t>
      </w:r>
      <w:r w:rsidR="00D441E5" w:rsidRPr="00BE10AE">
        <w:rPr>
          <w:rFonts w:ascii="Garamond" w:hAnsi="Garamond"/>
          <w:sz w:val="26"/>
          <w:szCs w:val="26"/>
        </w:rPr>
        <w:t xml:space="preserve">. </w:t>
      </w:r>
      <w:r w:rsidR="00A1457F" w:rsidRPr="00BE10AE">
        <w:rPr>
          <w:rFonts w:ascii="Garamond" w:hAnsi="Garamond"/>
          <w:sz w:val="26"/>
          <w:szCs w:val="26"/>
        </w:rPr>
        <w:t xml:space="preserve">I traveled an </w:t>
      </w:r>
      <w:r w:rsidR="00A335A1" w:rsidRPr="00BE10AE">
        <w:rPr>
          <w:rFonts w:ascii="Garamond" w:hAnsi="Garamond"/>
          <w:sz w:val="26"/>
          <w:szCs w:val="26"/>
        </w:rPr>
        <w:t>hour and a half</w:t>
      </w:r>
      <w:r w:rsidR="007C1312">
        <w:rPr>
          <w:rFonts w:ascii="Garamond" w:hAnsi="Garamond"/>
          <w:sz w:val="26"/>
          <w:szCs w:val="26"/>
        </w:rPr>
        <w:t xml:space="preserve"> every morning</w:t>
      </w:r>
      <w:r w:rsidR="000E666F" w:rsidRPr="00BE10AE">
        <w:rPr>
          <w:rFonts w:ascii="Garamond" w:hAnsi="Garamond"/>
          <w:sz w:val="26"/>
          <w:szCs w:val="26"/>
        </w:rPr>
        <w:t xml:space="preserve"> </w:t>
      </w:r>
      <w:r w:rsidR="00A1457F" w:rsidRPr="00BE10AE">
        <w:rPr>
          <w:rFonts w:ascii="Garamond" w:hAnsi="Garamond"/>
          <w:sz w:val="26"/>
          <w:szCs w:val="26"/>
        </w:rPr>
        <w:t xml:space="preserve">by subway, ferry, and bus to </w:t>
      </w:r>
      <w:r w:rsidR="00CC0343" w:rsidRPr="00BE10AE">
        <w:rPr>
          <w:rFonts w:ascii="Garamond" w:hAnsi="Garamond"/>
          <w:sz w:val="26"/>
          <w:szCs w:val="26"/>
        </w:rPr>
        <w:t>get</w:t>
      </w:r>
      <w:r w:rsidR="00A335A1" w:rsidRPr="00BE10AE">
        <w:rPr>
          <w:rFonts w:ascii="Garamond" w:hAnsi="Garamond"/>
          <w:sz w:val="26"/>
          <w:szCs w:val="26"/>
        </w:rPr>
        <w:t xml:space="preserve"> from my apartment in Brooklyn</w:t>
      </w:r>
      <w:r w:rsidR="00CC0343" w:rsidRPr="00BE10AE">
        <w:rPr>
          <w:rFonts w:ascii="Garamond" w:hAnsi="Garamond"/>
          <w:sz w:val="26"/>
          <w:szCs w:val="26"/>
        </w:rPr>
        <w:t xml:space="preserve"> to the courthouse in Staten Island</w:t>
      </w:r>
      <w:r w:rsidR="00A335A1" w:rsidRPr="00BE10AE">
        <w:rPr>
          <w:rFonts w:ascii="Garamond" w:hAnsi="Garamond"/>
          <w:sz w:val="26"/>
          <w:szCs w:val="26"/>
        </w:rPr>
        <w:t xml:space="preserve">, and </w:t>
      </w:r>
      <w:r w:rsidR="004815F9" w:rsidRPr="00BE10AE">
        <w:rPr>
          <w:rFonts w:ascii="Garamond" w:hAnsi="Garamond"/>
          <w:sz w:val="26"/>
          <w:szCs w:val="26"/>
        </w:rPr>
        <w:t>once</w:t>
      </w:r>
      <w:r w:rsidR="00A335A1" w:rsidRPr="00BE10AE">
        <w:rPr>
          <w:rFonts w:ascii="Garamond" w:hAnsi="Garamond"/>
          <w:sz w:val="26"/>
          <w:szCs w:val="26"/>
        </w:rPr>
        <w:t xml:space="preserve"> I got </w:t>
      </w:r>
      <w:r w:rsidR="0039596B" w:rsidRPr="00BE10AE">
        <w:rPr>
          <w:rFonts w:ascii="Garamond" w:hAnsi="Garamond"/>
          <w:sz w:val="26"/>
          <w:szCs w:val="26"/>
        </w:rPr>
        <w:t>t</w:t>
      </w:r>
      <w:r w:rsidR="00A335A1" w:rsidRPr="00BE10AE">
        <w:rPr>
          <w:rFonts w:ascii="Garamond" w:hAnsi="Garamond"/>
          <w:sz w:val="26"/>
          <w:szCs w:val="26"/>
        </w:rPr>
        <w:t xml:space="preserve">here, I had </w:t>
      </w:r>
      <w:r w:rsidR="008F1339" w:rsidRPr="00BE10AE">
        <w:rPr>
          <w:rFonts w:ascii="Garamond" w:hAnsi="Garamond"/>
          <w:sz w:val="26"/>
          <w:szCs w:val="26"/>
        </w:rPr>
        <w:t xml:space="preserve">to </w:t>
      </w:r>
      <w:r w:rsidR="004815F9" w:rsidRPr="00BE10AE">
        <w:rPr>
          <w:rFonts w:ascii="Garamond" w:hAnsi="Garamond"/>
          <w:sz w:val="26"/>
          <w:szCs w:val="26"/>
        </w:rPr>
        <w:t xml:space="preserve">squeeze into a packed bench </w:t>
      </w:r>
      <w:r w:rsidR="00487CF2" w:rsidRPr="00BE10AE">
        <w:rPr>
          <w:rFonts w:ascii="Garamond" w:hAnsi="Garamond"/>
          <w:sz w:val="26"/>
          <w:szCs w:val="26"/>
        </w:rPr>
        <w:t>of unhappy attorneys</w:t>
      </w:r>
      <w:r w:rsidR="00CC0343" w:rsidRPr="00BE10AE">
        <w:rPr>
          <w:rFonts w:ascii="Garamond" w:hAnsi="Garamond"/>
          <w:sz w:val="26"/>
          <w:szCs w:val="26"/>
        </w:rPr>
        <w:t xml:space="preserve"> who </w:t>
      </w:r>
      <w:r w:rsidR="00484D2E">
        <w:rPr>
          <w:rFonts w:ascii="Garamond" w:hAnsi="Garamond"/>
          <w:sz w:val="26"/>
          <w:szCs w:val="26"/>
        </w:rPr>
        <w:t xml:space="preserve">all </w:t>
      </w:r>
      <w:r w:rsidR="00CC0343" w:rsidRPr="00BE10AE">
        <w:rPr>
          <w:rFonts w:ascii="Garamond" w:hAnsi="Garamond"/>
          <w:sz w:val="26"/>
          <w:szCs w:val="26"/>
        </w:rPr>
        <w:t>grumbled about the commute</w:t>
      </w:r>
      <w:r w:rsidR="008F1339" w:rsidRPr="00BE10AE">
        <w:rPr>
          <w:rFonts w:ascii="Garamond" w:hAnsi="Garamond"/>
          <w:sz w:val="26"/>
          <w:szCs w:val="26"/>
        </w:rPr>
        <w:t xml:space="preserve"> while we waited for our cases to be called</w:t>
      </w:r>
      <w:r w:rsidR="00487CF2" w:rsidRPr="00BE10AE">
        <w:rPr>
          <w:rFonts w:ascii="Garamond" w:hAnsi="Garamond"/>
          <w:sz w:val="26"/>
          <w:szCs w:val="26"/>
        </w:rPr>
        <w:t xml:space="preserve">. </w:t>
      </w:r>
    </w:p>
    <w:p w14:paraId="3E58D48A" w14:textId="145071E6" w:rsidR="00193627" w:rsidRPr="00BE10AE" w:rsidRDefault="008F1339" w:rsidP="0001566C">
      <w:pPr>
        <w:spacing w:line="360" w:lineRule="auto"/>
        <w:ind w:firstLine="360"/>
        <w:contextualSpacing/>
        <w:rPr>
          <w:rFonts w:ascii="Garamond" w:hAnsi="Garamond"/>
          <w:sz w:val="26"/>
          <w:szCs w:val="26"/>
        </w:rPr>
      </w:pPr>
      <w:r w:rsidRPr="00BE10AE">
        <w:rPr>
          <w:rFonts w:ascii="Garamond" w:hAnsi="Garamond"/>
          <w:sz w:val="26"/>
          <w:szCs w:val="26"/>
        </w:rPr>
        <w:t xml:space="preserve">And wait we did. </w:t>
      </w:r>
      <w:r w:rsidR="00487CF2" w:rsidRPr="00BE10AE">
        <w:rPr>
          <w:rFonts w:ascii="Garamond" w:hAnsi="Garamond"/>
          <w:sz w:val="26"/>
          <w:szCs w:val="26"/>
        </w:rPr>
        <w:t xml:space="preserve">New York City, like most places in California, has always had jammed-up criminal dockets, and </w:t>
      </w:r>
      <w:r w:rsidR="00484D2E">
        <w:rPr>
          <w:rFonts w:ascii="Garamond" w:hAnsi="Garamond"/>
          <w:sz w:val="26"/>
          <w:szCs w:val="26"/>
        </w:rPr>
        <w:t xml:space="preserve">on that score, </w:t>
      </w:r>
      <w:r w:rsidR="00487CF2" w:rsidRPr="00BE10AE">
        <w:rPr>
          <w:rFonts w:ascii="Garamond" w:hAnsi="Garamond"/>
          <w:sz w:val="26"/>
          <w:szCs w:val="26"/>
        </w:rPr>
        <w:t xml:space="preserve">Staten Island </w:t>
      </w:r>
      <w:r w:rsidR="006C4676" w:rsidRPr="00BE10AE">
        <w:rPr>
          <w:rFonts w:ascii="Garamond" w:hAnsi="Garamond"/>
          <w:sz w:val="26"/>
          <w:szCs w:val="26"/>
        </w:rPr>
        <w:t>is</w:t>
      </w:r>
      <w:r w:rsidR="00487CF2" w:rsidRPr="00BE10AE">
        <w:rPr>
          <w:rFonts w:ascii="Garamond" w:hAnsi="Garamond"/>
          <w:sz w:val="26"/>
          <w:szCs w:val="26"/>
        </w:rPr>
        <w:t xml:space="preserve"> no different than </w:t>
      </w:r>
      <w:r w:rsidR="00E60446" w:rsidRPr="00BE10AE">
        <w:rPr>
          <w:rFonts w:ascii="Garamond" w:hAnsi="Garamond"/>
          <w:sz w:val="26"/>
          <w:szCs w:val="26"/>
        </w:rPr>
        <w:t>100 Centre Street in</w:t>
      </w:r>
      <w:r w:rsidR="00487CF2" w:rsidRPr="00BE10AE">
        <w:rPr>
          <w:rFonts w:ascii="Garamond" w:hAnsi="Garamond"/>
          <w:sz w:val="26"/>
          <w:szCs w:val="26"/>
        </w:rPr>
        <w:t xml:space="preserve"> Manhattan </w:t>
      </w:r>
      <w:r w:rsidR="00127E06" w:rsidRPr="00BE10AE">
        <w:rPr>
          <w:rFonts w:ascii="Garamond" w:hAnsi="Garamond"/>
          <w:sz w:val="26"/>
          <w:szCs w:val="26"/>
        </w:rPr>
        <w:t>or the Hall of Justice in San Jose</w:t>
      </w:r>
      <w:r w:rsidR="00487CF2" w:rsidRPr="00BE10AE">
        <w:rPr>
          <w:rFonts w:ascii="Garamond" w:hAnsi="Garamond"/>
          <w:sz w:val="26"/>
          <w:szCs w:val="26"/>
        </w:rPr>
        <w:t xml:space="preserve">. </w:t>
      </w:r>
      <w:r w:rsidR="006C4676" w:rsidRPr="00BE10AE">
        <w:rPr>
          <w:rFonts w:ascii="Garamond" w:hAnsi="Garamond"/>
          <w:sz w:val="26"/>
          <w:szCs w:val="26"/>
        </w:rPr>
        <w:t>So e</w:t>
      </w:r>
      <w:r w:rsidR="00487CF2" w:rsidRPr="00BE10AE">
        <w:rPr>
          <w:rFonts w:ascii="Garamond" w:hAnsi="Garamond"/>
          <w:sz w:val="26"/>
          <w:szCs w:val="26"/>
        </w:rPr>
        <w:t xml:space="preserve">very day, </w:t>
      </w:r>
      <w:r w:rsidR="00740E32" w:rsidRPr="00BE10AE">
        <w:rPr>
          <w:rFonts w:ascii="Garamond" w:hAnsi="Garamond"/>
          <w:sz w:val="26"/>
          <w:szCs w:val="26"/>
        </w:rPr>
        <w:t xml:space="preserve">hundreds of people </w:t>
      </w:r>
      <w:r w:rsidR="006C4676" w:rsidRPr="00BE10AE">
        <w:rPr>
          <w:rFonts w:ascii="Garamond" w:hAnsi="Garamond"/>
          <w:sz w:val="26"/>
          <w:szCs w:val="26"/>
        </w:rPr>
        <w:t>would pack</w:t>
      </w:r>
      <w:r w:rsidR="00740E32" w:rsidRPr="00BE10AE">
        <w:rPr>
          <w:rFonts w:ascii="Garamond" w:hAnsi="Garamond"/>
          <w:sz w:val="26"/>
          <w:szCs w:val="26"/>
        </w:rPr>
        <w:t xml:space="preserve"> into the</w:t>
      </w:r>
      <w:r w:rsidR="006C71C8" w:rsidRPr="00BE10AE">
        <w:rPr>
          <w:rFonts w:ascii="Garamond" w:hAnsi="Garamond"/>
          <w:sz w:val="26"/>
          <w:szCs w:val="26"/>
        </w:rPr>
        <w:t xml:space="preserve"> tiny</w:t>
      </w:r>
      <w:r w:rsidR="00726C84" w:rsidRPr="00BE10AE">
        <w:rPr>
          <w:rFonts w:ascii="Garamond" w:hAnsi="Garamond"/>
          <w:sz w:val="26"/>
          <w:szCs w:val="26"/>
        </w:rPr>
        <w:t xml:space="preserve"> courtroom and wait for their cases to be called. And because courts in Staten Island </w:t>
      </w:r>
      <w:r w:rsidR="002C358B" w:rsidRPr="00BE10AE">
        <w:rPr>
          <w:rFonts w:ascii="Garamond" w:hAnsi="Garamond"/>
          <w:sz w:val="26"/>
          <w:szCs w:val="26"/>
        </w:rPr>
        <w:t xml:space="preserve">refused to use sign-up sheets or lists or any method by which people could </w:t>
      </w:r>
      <w:r w:rsidR="006D0A9C" w:rsidRPr="00BE10AE">
        <w:rPr>
          <w:rFonts w:ascii="Garamond" w:hAnsi="Garamond"/>
          <w:sz w:val="26"/>
          <w:szCs w:val="26"/>
        </w:rPr>
        <w:t>reliably tell</w:t>
      </w:r>
      <w:r w:rsidR="002C358B" w:rsidRPr="00BE10AE">
        <w:rPr>
          <w:rFonts w:ascii="Garamond" w:hAnsi="Garamond"/>
          <w:sz w:val="26"/>
          <w:szCs w:val="26"/>
        </w:rPr>
        <w:t xml:space="preserve"> when </w:t>
      </w:r>
      <w:r w:rsidR="002F74BB">
        <w:rPr>
          <w:rFonts w:ascii="Garamond" w:hAnsi="Garamond"/>
          <w:sz w:val="26"/>
          <w:szCs w:val="26"/>
        </w:rPr>
        <w:t>they would have to get up in front of the judge</w:t>
      </w:r>
      <w:r w:rsidR="002C358B" w:rsidRPr="00BE10AE">
        <w:rPr>
          <w:rFonts w:ascii="Garamond" w:hAnsi="Garamond"/>
          <w:sz w:val="26"/>
          <w:szCs w:val="26"/>
        </w:rPr>
        <w:t xml:space="preserve">, </w:t>
      </w:r>
      <w:r w:rsidR="006D0A9C" w:rsidRPr="00BE10AE">
        <w:rPr>
          <w:rFonts w:ascii="Garamond" w:hAnsi="Garamond"/>
          <w:sz w:val="26"/>
          <w:szCs w:val="26"/>
        </w:rPr>
        <w:t>clients</w:t>
      </w:r>
      <w:r w:rsidR="002C358B" w:rsidRPr="00BE10AE">
        <w:rPr>
          <w:rFonts w:ascii="Garamond" w:hAnsi="Garamond"/>
          <w:sz w:val="26"/>
          <w:szCs w:val="26"/>
        </w:rPr>
        <w:t xml:space="preserve"> and attorneys </w:t>
      </w:r>
      <w:r w:rsidR="006D0A9C" w:rsidRPr="00BE10AE">
        <w:rPr>
          <w:rFonts w:ascii="Garamond" w:hAnsi="Garamond"/>
          <w:sz w:val="26"/>
          <w:szCs w:val="26"/>
        </w:rPr>
        <w:t xml:space="preserve">alike </w:t>
      </w:r>
      <w:r w:rsidR="002C358B" w:rsidRPr="00BE10AE">
        <w:rPr>
          <w:rFonts w:ascii="Garamond" w:hAnsi="Garamond"/>
          <w:sz w:val="26"/>
          <w:szCs w:val="26"/>
        </w:rPr>
        <w:t xml:space="preserve">would </w:t>
      </w:r>
      <w:r w:rsidR="006D0A9C" w:rsidRPr="00BE10AE">
        <w:rPr>
          <w:rFonts w:ascii="Garamond" w:hAnsi="Garamond"/>
          <w:sz w:val="26"/>
          <w:szCs w:val="26"/>
        </w:rPr>
        <w:t xml:space="preserve">have to </w:t>
      </w:r>
      <w:r w:rsidR="002C358B" w:rsidRPr="00BE10AE">
        <w:rPr>
          <w:rFonts w:ascii="Garamond" w:hAnsi="Garamond"/>
          <w:sz w:val="26"/>
          <w:szCs w:val="26"/>
        </w:rPr>
        <w:t xml:space="preserve">anxiously wait and wait for the bailiff to call out their cases. This meant that </w:t>
      </w:r>
      <w:r w:rsidR="00872F11" w:rsidRPr="00BE10AE">
        <w:rPr>
          <w:rFonts w:ascii="Garamond" w:hAnsi="Garamond"/>
          <w:sz w:val="26"/>
          <w:szCs w:val="26"/>
        </w:rPr>
        <w:t xml:space="preserve">every day, </w:t>
      </w:r>
      <w:r w:rsidR="001C7781" w:rsidRPr="00BE10AE">
        <w:rPr>
          <w:rFonts w:ascii="Garamond" w:hAnsi="Garamond"/>
          <w:sz w:val="26"/>
          <w:szCs w:val="26"/>
        </w:rPr>
        <w:t xml:space="preserve">people </w:t>
      </w:r>
      <w:r w:rsidR="002C358B" w:rsidRPr="00BE10AE">
        <w:rPr>
          <w:rFonts w:ascii="Garamond" w:hAnsi="Garamond"/>
          <w:sz w:val="26"/>
          <w:szCs w:val="26"/>
        </w:rPr>
        <w:t>waiting on their cases would</w:t>
      </w:r>
      <w:r w:rsidR="00413A07" w:rsidRPr="00BE10AE">
        <w:rPr>
          <w:rFonts w:ascii="Garamond" w:hAnsi="Garamond"/>
          <w:sz w:val="26"/>
          <w:szCs w:val="26"/>
        </w:rPr>
        <w:t xml:space="preserve">, over the course of the morning, </w:t>
      </w:r>
      <w:r w:rsidR="002C358B" w:rsidRPr="00BE10AE">
        <w:rPr>
          <w:rFonts w:ascii="Garamond" w:hAnsi="Garamond"/>
          <w:sz w:val="26"/>
          <w:szCs w:val="26"/>
        </w:rPr>
        <w:t xml:space="preserve">grow </w:t>
      </w:r>
      <w:r w:rsidR="00413A07" w:rsidRPr="00BE10AE">
        <w:rPr>
          <w:rFonts w:ascii="Garamond" w:hAnsi="Garamond"/>
          <w:sz w:val="26"/>
          <w:szCs w:val="26"/>
        </w:rPr>
        <w:t>nervous</w:t>
      </w:r>
      <w:r w:rsidR="00E70DDE" w:rsidRPr="00BE10AE">
        <w:rPr>
          <w:rFonts w:ascii="Garamond" w:hAnsi="Garamond"/>
          <w:sz w:val="26"/>
          <w:szCs w:val="26"/>
        </w:rPr>
        <w:t xml:space="preserve"> and impatient</w:t>
      </w:r>
      <w:r w:rsidR="00EE1E7E">
        <w:rPr>
          <w:rFonts w:ascii="Garamond" w:hAnsi="Garamond"/>
          <w:sz w:val="26"/>
          <w:szCs w:val="26"/>
        </w:rPr>
        <w:t xml:space="preserve">, </w:t>
      </w:r>
      <w:r w:rsidR="00E70DDE" w:rsidRPr="00BE10AE">
        <w:rPr>
          <w:rFonts w:ascii="Garamond" w:hAnsi="Garamond"/>
          <w:sz w:val="26"/>
          <w:szCs w:val="26"/>
        </w:rPr>
        <w:t xml:space="preserve">and </w:t>
      </w:r>
      <w:r w:rsidR="00EE1E7E">
        <w:rPr>
          <w:rFonts w:ascii="Garamond" w:hAnsi="Garamond"/>
          <w:sz w:val="26"/>
          <w:szCs w:val="26"/>
        </w:rPr>
        <w:t>eventually</w:t>
      </w:r>
      <w:r w:rsidR="00E70DDE" w:rsidRPr="00BE10AE">
        <w:rPr>
          <w:rFonts w:ascii="Garamond" w:hAnsi="Garamond"/>
          <w:sz w:val="26"/>
          <w:szCs w:val="26"/>
        </w:rPr>
        <w:t xml:space="preserve"> </w:t>
      </w:r>
      <w:r w:rsidR="002F74BB">
        <w:rPr>
          <w:rFonts w:ascii="Garamond" w:hAnsi="Garamond"/>
          <w:sz w:val="26"/>
          <w:szCs w:val="26"/>
        </w:rPr>
        <w:t>they</w:t>
      </w:r>
      <w:r w:rsidR="00E70DDE" w:rsidRPr="00BE10AE">
        <w:rPr>
          <w:rFonts w:ascii="Garamond" w:hAnsi="Garamond"/>
          <w:sz w:val="26"/>
          <w:szCs w:val="26"/>
        </w:rPr>
        <w:t xml:space="preserve"> </w:t>
      </w:r>
      <w:r w:rsidR="001C7781" w:rsidRPr="00BE10AE">
        <w:rPr>
          <w:rFonts w:ascii="Garamond" w:hAnsi="Garamond"/>
          <w:sz w:val="26"/>
          <w:szCs w:val="26"/>
        </w:rPr>
        <w:t xml:space="preserve">would </w:t>
      </w:r>
      <w:r w:rsidR="006A34DA" w:rsidRPr="00BE10AE">
        <w:rPr>
          <w:rFonts w:ascii="Garamond" w:hAnsi="Garamond"/>
          <w:sz w:val="26"/>
          <w:szCs w:val="26"/>
        </w:rPr>
        <w:t xml:space="preserve">begin to </w:t>
      </w:r>
      <w:r w:rsidR="001C7781" w:rsidRPr="00BE10AE">
        <w:rPr>
          <w:rFonts w:ascii="Garamond" w:hAnsi="Garamond"/>
          <w:sz w:val="26"/>
          <w:szCs w:val="26"/>
        </w:rPr>
        <w:t>whisper in the gallery or text on their phones or fidget in their seats</w:t>
      </w:r>
      <w:r w:rsidR="00E70DDE" w:rsidRPr="00BE10AE">
        <w:rPr>
          <w:rFonts w:ascii="Garamond" w:hAnsi="Garamond"/>
          <w:sz w:val="26"/>
          <w:szCs w:val="26"/>
        </w:rPr>
        <w:t>,</w:t>
      </w:r>
      <w:r w:rsidR="001C7781" w:rsidRPr="00BE10AE">
        <w:rPr>
          <w:rFonts w:ascii="Garamond" w:hAnsi="Garamond"/>
          <w:sz w:val="26"/>
          <w:szCs w:val="26"/>
        </w:rPr>
        <w:t xml:space="preserve"> and ever</w:t>
      </w:r>
      <w:r w:rsidR="004E030E" w:rsidRPr="00BE10AE">
        <w:rPr>
          <w:rFonts w:ascii="Garamond" w:hAnsi="Garamond"/>
          <w:sz w:val="26"/>
          <w:szCs w:val="26"/>
        </w:rPr>
        <w:t xml:space="preserve">y day, </w:t>
      </w:r>
      <w:r w:rsidR="00872F11" w:rsidRPr="00BE10AE">
        <w:rPr>
          <w:rFonts w:ascii="Garamond" w:hAnsi="Garamond"/>
          <w:sz w:val="26"/>
          <w:szCs w:val="26"/>
        </w:rPr>
        <w:t xml:space="preserve">the court </w:t>
      </w:r>
      <w:r w:rsidR="00E70DDE" w:rsidRPr="00BE10AE">
        <w:rPr>
          <w:rFonts w:ascii="Garamond" w:hAnsi="Garamond"/>
          <w:sz w:val="26"/>
          <w:szCs w:val="26"/>
        </w:rPr>
        <w:t>officers</w:t>
      </w:r>
      <w:r w:rsidR="00872F11" w:rsidRPr="00BE10AE">
        <w:rPr>
          <w:rFonts w:ascii="Garamond" w:hAnsi="Garamond"/>
          <w:sz w:val="26"/>
          <w:szCs w:val="26"/>
        </w:rPr>
        <w:t xml:space="preserve"> </w:t>
      </w:r>
      <w:r w:rsidR="004E030E" w:rsidRPr="00BE10AE">
        <w:rPr>
          <w:rFonts w:ascii="Garamond" w:hAnsi="Garamond"/>
          <w:sz w:val="26"/>
          <w:szCs w:val="26"/>
        </w:rPr>
        <w:t>would interrupt</w:t>
      </w:r>
      <w:r w:rsidR="00872F11" w:rsidRPr="00BE10AE">
        <w:rPr>
          <w:rFonts w:ascii="Garamond" w:hAnsi="Garamond"/>
          <w:sz w:val="26"/>
          <w:szCs w:val="26"/>
        </w:rPr>
        <w:t xml:space="preserve"> the proceedings </w:t>
      </w:r>
      <w:r w:rsidR="004E030E" w:rsidRPr="00BE10AE">
        <w:rPr>
          <w:rFonts w:ascii="Garamond" w:hAnsi="Garamond"/>
          <w:sz w:val="26"/>
          <w:szCs w:val="26"/>
        </w:rPr>
        <w:t>so they could</w:t>
      </w:r>
      <w:r w:rsidR="00872F11" w:rsidRPr="00BE10AE">
        <w:rPr>
          <w:rFonts w:ascii="Garamond" w:hAnsi="Garamond"/>
          <w:sz w:val="26"/>
          <w:szCs w:val="26"/>
        </w:rPr>
        <w:t xml:space="preserve"> </w:t>
      </w:r>
      <w:r w:rsidR="008646A4" w:rsidRPr="00BE10AE">
        <w:rPr>
          <w:rFonts w:ascii="Garamond" w:hAnsi="Garamond"/>
          <w:sz w:val="26"/>
          <w:szCs w:val="26"/>
        </w:rPr>
        <w:t>yell at</w:t>
      </w:r>
      <w:r w:rsidR="00872F11" w:rsidRPr="00BE10AE">
        <w:rPr>
          <w:rFonts w:ascii="Garamond" w:hAnsi="Garamond"/>
          <w:sz w:val="26"/>
          <w:szCs w:val="26"/>
        </w:rPr>
        <w:t xml:space="preserve"> </w:t>
      </w:r>
      <w:r w:rsidR="00E70DDE" w:rsidRPr="00BE10AE">
        <w:rPr>
          <w:rFonts w:ascii="Garamond" w:hAnsi="Garamond"/>
          <w:sz w:val="26"/>
          <w:szCs w:val="26"/>
        </w:rPr>
        <w:t xml:space="preserve">these </w:t>
      </w:r>
      <w:r w:rsidR="00872F11" w:rsidRPr="00BE10AE">
        <w:rPr>
          <w:rFonts w:ascii="Garamond" w:hAnsi="Garamond"/>
          <w:sz w:val="26"/>
          <w:szCs w:val="26"/>
        </w:rPr>
        <w:t xml:space="preserve">people </w:t>
      </w:r>
      <w:r w:rsidR="004E030E" w:rsidRPr="00BE10AE">
        <w:rPr>
          <w:rFonts w:ascii="Garamond" w:hAnsi="Garamond"/>
          <w:sz w:val="26"/>
          <w:szCs w:val="26"/>
        </w:rPr>
        <w:t xml:space="preserve">for talking or texting or </w:t>
      </w:r>
      <w:r w:rsidR="008646A4" w:rsidRPr="00BE10AE">
        <w:rPr>
          <w:rFonts w:ascii="Garamond" w:hAnsi="Garamond"/>
          <w:sz w:val="26"/>
          <w:szCs w:val="26"/>
        </w:rPr>
        <w:t>stand</w:t>
      </w:r>
      <w:r w:rsidR="004E030E" w:rsidRPr="00BE10AE">
        <w:rPr>
          <w:rFonts w:ascii="Garamond" w:hAnsi="Garamond"/>
          <w:sz w:val="26"/>
          <w:szCs w:val="26"/>
        </w:rPr>
        <w:t xml:space="preserve">ing </w:t>
      </w:r>
      <w:r w:rsidR="008646A4" w:rsidRPr="00BE10AE">
        <w:rPr>
          <w:rFonts w:ascii="Garamond" w:hAnsi="Garamond"/>
          <w:sz w:val="26"/>
          <w:szCs w:val="26"/>
        </w:rPr>
        <w:t>up or sit</w:t>
      </w:r>
      <w:r w:rsidR="004E030E" w:rsidRPr="00BE10AE">
        <w:rPr>
          <w:rFonts w:ascii="Garamond" w:hAnsi="Garamond"/>
          <w:sz w:val="26"/>
          <w:szCs w:val="26"/>
        </w:rPr>
        <w:t>ting</w:t>
      </w:r>
      <w:r w:rsidR="008646A4" w:rsidRPr="00BE10AE">
        <w:rPr>
          <w:rFonts w:ascii="Garamond" w:hAnsi="Garamond"/>
          <w:sz w:val="26"/>
          <w:szCs w:val="26"/>
        </w:rPr>
        <w:t xml:space="preserve"> down or</w:t>
      </w:r>
      <w:r w:rsidR="004E030E" w:rsidRPr="00BE10AE">
        <w:rPr>
          <w:rFonts w:ascii="Garamond" w:hAnsi="Garamond"/>
          <w:sz w:val="26"/>
          <w:szCs w:val="26"/>
        </w:rPr>
        <w:t xml:space="preserve"> doing anything </w:t>
      </w:r>
      <w:r w:rsidR="00063B25">
        <w:rPr>
          <w:rFonts w:ascii="Garamond" w:hAnsi="Garamond"/>
          <w:sz w:val="26"/>
          <w:szCs w:val="26"/>
        </w:rPr>
        <w:t>besides</w:t>
      </w:r>
      <w:r w:rsidR="004E030E" w:rsidRPr="00BE10AE">
        <w:rPr>
          <w:rFonts w:ascii="Garamond" w:hAnsi="Garamond"/>
          <w:sz w:val="26"/>
          <w:szCs w:val="26"/>
        </w:rPr>
        <w:t xml:space="preserve"> </w:t>
      </w:r>
      <w:r w:rsidR="00E4231A" w:rsidRPr="00BE10AE">
        <w:rPr>
          <w:rFonts w:ascii="Garamond" w:hAnsi="Garamond"/>
          <w:sz w:val="26"/>
          <w:szCs w:val="26"/>
        </w:rPr>
        <w:t>being</w:t>
      </w:r>
      <w:r w:rsidR="004E030E" w:rsidRPr="00BE10AE">
        <w:rPr>
          <w:rFonts w:ascii="Garamond" w:hAnsi="Garamond"/>
          <w:sz w:val="26"/>
          <w:szCs w:val="26"/>
        </w:rPr>
        <w:t xml:space="preserve"> as still and</w:t>
      </w:r>
      <w:r w:rsidR="007C7C4E">
        <w:rPr>
          <w:rFonts w:ascii="Garamond" w:hAnsi="Garamond"/>
          <w:sz w:val="26"/>
          <w:szCs w:val="26"/>
        </w:rPr>
        <w:t xml:space="preserve"> as</w:t>
      </w:r>
      <w:r w:rsidR="004E030E" w:rsidRPr="00BE10AE">
        <w:rPr>
          <w:rFonts w:ascii="Garamond" w:hAnsi="Garamond"/>
          <w:sz w:val="26"/>
          <w:szCs w:val="26"/>
        </w:rPr>
        <w:t xml:space="preserve"> quiet as</w:t>
      </w:r>
      <w:r w:rsidR="00E4231A" w:rsidRPr="00BE10AE">
        <w:rPr>
          <w:rFonts w:ascii="Garamond" w:hAnsi="Garamond"/>
          <w:sz w:val="26"/>
          <w:szCs w:val="26"/>
        </w:rPr>
        <w:t xml:space="preserve"> </w:t>
      </w:r>
      <w:r w:rsidR="00AA787F" w:rsidRPr="00BE10AE">
        <w:rPr>
          <w:rFonts w:ascii="Garamond" w:hAnsi="Garamond"/>
          <w:sz w:val="26"/>
          <w:szCs w:val="26"/>
        </w:rPr>
        <w:t xml:space="preserve">porcelain </w:t>
      </w:r>
      <w:r w:rsidR="00063B25">
        <w:rPr>
          <w:rFonts w:ascii="Garamond" w:hAnsi="Garamond"/>
          <w:sz w:val="26"/>
          <w:szCs w:val="26"/>
        </w:rPr>
        <w:t>dolls</w:t>
      </w:r>
      <w:r w:rsidR="0001566C" w:rsidRPr="00BE10AE">
        <w:rPr>
          <w:rFonts w:ascii="Garamond" w:hAnsi="Garamond"/>
          <w:sz w:val="26"/>
          <w:szCs w:val="26"/>
        </w:rPr>
        <w:t xml:space="preserve">. </w:t>
      </w:r>
      <w:r w:rsidR="00412E48" w:rsidRPr="00BE10AE">
        <w:rPr>
          <w:rFonts w:ascii="Garamond" w:hAnsi="Garamond"/>
          <w:sz w:val="26"/>
          <w:szCs w:val="26"/>
        </w:rPr>
        <w:t xml:space="preserve">This back and forth </w:t>
      </w:r>
      <w:r w:rsidR="00E4231A" w:rsidRPr="00BE10AE">
        <w:rPr>
          <w:rFonts w:ascii="Garamond" w:hAnsi="Garamond"/>
          <w:sz w:val="26"/>
          <w:szCs w:val="26"/>
        </w:rPr>
        <w:t xml:space="preserve">would </w:t>
      </w:r>
      <w:r w:rsidR="00193627" w:rsidRPr="00BE10AE">
        <w:rPr>
          <w:rFonts w:ascii="Garamond" w:hAnsi="Garamond"/>
          <w:sz w:val="26"/>
          <w:szCs w:val="26"/>
        </w:rPr>
        <w:t>only further prolong the calendar</w:t>
      </w:r>
      <w:r w:rsidR="00CE17D1" w:rsidRPr="00BE10AE">
        <w:rPr>
          <w:rFonts w:ascii="Garamond" w:hAnsi="Garamond"/>
          <w:sz w:val="26"/>
          <w:szCs w:val="26"/>
        </w:rPr>
        <w:t>, and as the clock crept closer to noon, the judge</w:t>
      </w:r>
      <w:r w:rsidR="00CB3AF2" w:rsidRPr="00BE10AE">
        <w:rPr>
          <w:rFonts w:ascii="Garamond" w:hAnsi="Garamond"/>
          <w:sz w:val="26"/>
          <w:szCs w:val="26"/>
        </w:rPr>
        <w:t xml:space="preserve"> would</w:t>
      </w:r>
      <w:r w:rsidR="00CE17D1" w:rsidRPr="00BE10AE">
        <w:rPr>
          <w:rFonts w:ascii="Garamond" w:hAnsi="Garamond"/>
          <w:sz w:val="26"/>
          <w:szCs w:val="26"/>
        </w:rPr>
        <w:t xml:space="preserve"> </w:t>
      </w:r>
      <w:r w:rsidR="00CB3AF2" w:rsidRPr="00BE10AE">
        <w:rPr>
          <w:rFonts w:ascii="Garamond" w:hAnsi="Garamond"/>
          <w:sz w:val="26"/>
          <w:szCs w:val="26"/>
        </w:rPr>
        <w:t xml:space="preserve">only grow more and more </w:t>
      </w:r>
      <w:r w:rsidR="007C7C4E">
        <w:rPr>
          <w:rFonts w:ascii="Garamond" w:hAnsi="Garamond"/>
          <w:sz w:val="26"/>
          <w:szCs w:val="26"/>
        </w:rPr>
        <w:t>irritable</w:t>
      </w:r>
      <w:r w:rsidR="00CE17D1" w:rsidRPr="00BE10AE">
        <w:rPr>
          <w:rFonts w:ascii="Garamond" w:hAnsi="Garamond"/>
          <w:sz w:val="26"/>
          <w:szCs w:val="26"/>
        </w:rPr>
        <w:t>.</w:t>
      </w:r>
    </w:p>
    <w:p w14:paraId="65ADB80F" w14:textId="2182796C" w:rsidR="00F20014" w:rsidRPr="00BE10AE" w:rsidRDefault="00193627" w:rsidP="0001566C">
      <w:pPr>
        <w:spacing w:line="360" w:lineRule="auto"/>
        <w:ind w:firstLine="360"/>
        <w:contextualSpacing/>
        <w:rPr>
          <w:rFonts w:ascii="Garamond" w:hAnsi="Garamond"/>
          <w:sz w:val="26"/>
          <w:szCs w:val="26"/>
        </w:rPr>
      </w:pPr>
      <w:r w:rsidRPr="00BE10AE">
        <w:rPr>
          <w:rFonts w:ascii="Garamond" w:hAnsi="Garamond"/>
          <w:sz w:val="26"/>
          <w:szCs w:val="26"/>
        </w:rPr>
        <w:t xml:space="preserve">The worst position </w:t>
      </w:r>
      <w:r w:rsidR="002B06AA" w:rsidRPr="00BE10AE">
        <w:rPr>
          <w:rFonts w:ascii="Garamond" w:hAnsi="Garamond"/>
          <w:sz w:val="26"/>
          <w:szCs w:val="26"/>
        </w:rPr>
        <w:t>one</w:t>
      </w:r>
      <w:r w:rsidRPr="00BE10AE">
        <w:rPr>
          <w:rFonts w:ascii="Garamond" w:hAnsi="Garamond"/>
          <w:sz w:val="26"/>
          <w:szCs w:val="26"/>
        </w:rPr>
        <w:t xml:space="preserve"> could be in, therefore, was </w:t>
      </w:r>
      <w:r w:rsidR="002B06AA" w:rsidRPr="00BE10AE">
        <w:rPr>
          <w:rFonts w:ascii="Garamond" w:hAnsi="Garamond"/>
          <w:sz w:val="26"/>
          <w:szCs w:val="26"/>
        </w:rPr>
        <w:t>that of a young public defender</w:t>
      </w:r>
      <w:r w:rsidRPr="00BE10AE">
        <w:rPr>
          <w:rFonts w:ascii="Garamond" w:hAnsi="Garamond"/>
          <w:sz w:val="26"/>
          <w:szCs w:val="26"/>
        </w:rPr>
        <w:t xml:space="preserve"> telling </w:t>
      </w:r>
      <w:r w:rsidR="002B06AA" w:rsidRPr="00BE10AE">
        <w:rPr>
          <w:rFonts w:ascii="Garamond" w:hAnsi="Garamond"/>
          <w:sz w:val="26"/>
          <w:szCs w:val="26"/>
        </w:rPr>
        <w:t>the</w:t>
      </w:r>
      <w:r w:rsidRPr="00BE10AE">
        <w:rPr>
          <w:rFonts w:ascii="Garamond" w:hAnsi="Garamond"/>
          <w:sz w:val="26"/>
          <w:szCs w:val="26"/>
        </w:rPr>
        <w:t xml:space="preserve"> judge</w:t>
      </w:r>
      <w:r w:rsidR="002B06AA" w:rsidRPr="00BE10AE">
        <w:rPr>
          <w:rFonts w:ascii="Garamond" w:hAnsi="Garamond"/>
          <w:sz w:val="26"/>
          <w:szCs w:val="26"/>
        </w:rPr>
        <w:t>, just before noon,</w:t>
      </w:r>
      <w:r w:rsidRPr="00BE10AE">
        <w:rPr>
          <w:rFonts w:ascii="Garamond" w:hAnsi="Garamond"/>
          <w:sz w:val="26"/>
          <w:szCs w:val="26"/>
        </w:rPr>
        <w:t xml:space="preserve"> </w:t>
      </w:r>
      <w:r w:rsidR="000859E7" w:rsidRPr="00BE10AE">
        <w:rPr>
          <w:rFonts w:ascii="Garamond" w:hAnsi="Garamond"/>
          <w:sz w:val="26"/>
          <w:szCs w:val="26"/>
        </w:rPr>
        <w:t xml:space="preserve">that no, </w:t>
      </w:r>
      <w:r w:rsidRPr="00BE10AE">
        <w:rPr>
          <w:rFonts w:ascii="Garamond" w:hAnsi="Garamond"/>
          <w:sz w:val="26"/>
          <w:szCs w:val="26"/>
        </w:rPr>
        <w:t xml:space="preserve">you did not have a disposition in </w:t>
      </w:r>
      <w:r w:rsidR="00D95D0D">
        <w:rPr>
          <w:rFonts w:ascii="Garamond" w:hAnsi="Garamond"/>
          <w:sz w:val="26"/>
          <w:szCs w:val="26"/>
        </w:rPr>
        <w:t>your</w:t>
      </w:r>
      <w:r w:rsidRPr="00BE10AE">
        <w:rPr>
          <w:rFonts w:ascii="Garamond" w:hAnsi="Garamond"/>
          <w:sz w:val="26"/>
          <w:szCs w:val="26"/>
        </w:rPr>
        <w:t xml:space="preserve"> case</w:t>
      </w:r>
      <w:r w:rsidR="000859E7" w:rsidRPr="00BE10AE">
        <w:rPr>
          <w:rFonts w:ascii="Garamond" w:hAnsi="Garamond"/>
          <w:sz w:val="26"/>
          <w:szCs w:val="26"/>
        </w:rPr>
        <w:t>; yes, your</w:t>
      </w:r>
      <w:r w:rsidRPr="00BE10AE">
        <w:rPr>
          <w:rFonts w:ascii="Garamond" w:hAnsi="Garamond"/>
          <w:sz w:val="26"/>
          <w:szCs w:val="26"/>
        </w:rPr>
        <w:t xml:space="preserve"> client was turning down </w:t>
      </w:r>
      <w:r w:rsidR="002B06AA" w:rsidRPr="00BE10AE">
        <w:rPr>
          <w:rFonts w:ascii="Garamond" w:hAnsi="Garamond"/>
          <w:sz w:val="26"/>
          <w:szCs w:val="26"/>
        </w:rPr>
        <w:t>the prosecution’s generous offer</w:t>
      </w:r>
      <w:r w:rsidR="000859E7" w:rsidRPr="00BE10AE">
        <w:rPr>
          <w:rFonts w:ascii="Garamond" w:hAnsi="Garamond"/>
          <w:sz w:val="26"/>
          <w:szCs w:val="26"/>
        </w:rPr>
        <w:t xml:space="preserve">; and could the court please accommodate a jury trial </w:t>
      </w:r>
      <w:r w:rsidR="002B06AA" w:rsidRPr="00BE10AE">
        <w:rPr>
          <w:rFonts w:ascii="Garamond" w:hAnsi="Garamond"/>
          <w:sz w:val="26"/>
          <w:szCs w:val="26"/>
        </w:rPr>
        <w:t xml:space="preserve">in </w:t>
      </w:r>
      <w:r w:rsidR="000859E7" w:rsidRPr="00BE10AE">
        <w:rPr>
          <w:rFonts w:ascii="Garamond" w:hAnsi="Garamond"/>
          <w:sz w:val="26"/>
          <w:szCs w:val="26"/>
        </w:rPr>
        <w:t xml:space="preserve">the middle of its hectic schedule? This information coming from a young public defender would precipitate </w:t>
      </w:r>
      <w:r w:rsidR="00AD12FB" w:rsidRPr="00BE10AE">
        <w:rPr>
          <w:rFonts w:ascii="Garamond" w:hAnsi="Garamond"/>
          <w:sz w:val="26"/>
          <w:szCs w:val="26"/>
        </w:rPr>
        <w:t xml:space="preserve">a game whereby the judge would attempt to find any way possible to avoid the setting of a trial: Was there </w:t>
      </w:r>
      <w:r w:rsidR="00982D85" w:rsidRPr="00BE10AE">
        <w:rPr>
          <w:rFonts w:ascii="Garamond" w:hAnsi="Garamond"/>
          <w:sz w:val="26"/>
          <w:szCs w:val="26"/>
        </w:rPr>
        <w:t xml:space="preserve">perhaps </w:t>
      </w:r>
      <w:r w:rsidR="00AD12FB" w:rsidRPr="00BE10AE">
        <w:rPr>
          <w:rFonts w:ascii="Garamond" w:hAnsi="Garamond"/>
          <w:sz w:val="26"/>
          <w:szCs w:val="26"/>
        </w:rPr>
        <w:t xml:space="preserve">a way for </w:t>
      </w:r>
      <w:r w:rsidR="00982D85" w:rsidRPr="00BE10AE">
        <w:rPr>
          <w:rFonts w:ascii="Garamond" w:hAnsi="Garamond"/>
          <w:sz w:val="26"/>
          <w:szCs w:val="26"/>
        </w:rPr>
        <w:t>the judge</w:t>
      </w:r>
      <w:r w:rsidR="00AD12FB" w:rsidRPr="00BE10AE">
        <w:rPr>
          <w:rFonts w:ascii="Garamond" w:hAnsi="Garamond"/>
          <w:sz w:val="26"/>
          <w:szCs w:val="26"/>
        </w:rPr>
        <w:t xml:space="preserve"> to </w:t>
      </w:r>
      <w:r w:rsidR="00AD12FB" w:rsidRPr="00BE10AE">
        <w:rPr>
          <w:rFonts w:ascii="Garamond" w:hAnsi="Garamond"/>
          <w:sz w:val="26"/>
          <w:szCs w:val="26"/>
        </w:rPr>
        <w:lastRenderedPageBreak/>
        <w:t>remand your</w:t>
      </w:r>
      <w:r w:rsidR="00982D85" w:rsidRPr="00BE10AE">
        <w:rPr>
          <w:rFonts w:ascii="Garamond" w:hAnsi="Garamond"/>
          <w:sz w:val="26"/>
          <w:szCs w:val="26"/>
        </w:rPr>
        <w:t xml:space="preserve"> out-of-custody</w:t>
      </w:r>
      <w:r w:rsidR="00AD12FB" w:rsidRPr="00BE10AE">
        <w:rPr>
          <w:rFonts w:ascii="Garamond" w:hAnsi="Garamond"/>
          <w:sz w:val="26"/>
          <w:szCs w:val="26"/>
        </w:rPr>
        <w:t xml:space="preserve"> client? </w:t>
      </w:r>
      <w:r w:rsidR="003D1C57" w:rsidRPr="00BE10AE">
        <w:rPr>
          <w:rFonts w:ascii="Garamond" w:hAnsi="Garamond"/>
          <w:sz w:val="26"/>
          <w:szCs w:val="26"/>
        </w:rPr>
        <w:t>Was there a fine</w:t>
      </w:r>
      <w:r w:rsidR="00AD12FB" w:rsidRPr="00BE10AE">
        <w:rPr>
          <w:rFonts w:ascii="Garamond" w:hAnsi="Garamond"/>
          <w:sz w:val="26"/>
          <w:szCs w:val="26"/>
        </w:rPr>
        <w:t xml:space="preserve"> your client </w:t>
      </w:r>
      <w:r w:rsidR="00D95D0D">
        <w:rPr>
          <w:rFonts w:ascii="Garamond" w:hAnsi="Garamond"/>
          <w:sz w:val="26"/>
          <w:szCs w:val="26"/>
        </w:rPr>
        <w:t>had</w:t>
      </w:r>
      <w:r w:rsidR="00AD12FB" w:rsidRPr="00BE10AE">
        <w:rPr>
          <w:rFonts w:ascii="Garamond" w:hAnsi="Garamond"/>
          <w:sz w:val="26"/>
          <w:szCs w:val="26"/>
        </w:rPr>
        <w:t xml:space="preserve"> not </w:t>
      </w:r>
      <w:r w:rsidR="00D95D0D">
        <w:rPr>
          <w:rFonts w:ascii="Garamond" w:hAnsi="Garamond"/>
          <w:sz w:val="26"/>
          <w:szCs w:val="26"/>
        </w:rPr>
        <w:t>paid</w:t>
      </w:r>
      <w:r w:rsidR="00AD12FB" w:rsidRPr="00BE10AE">
        <w:rPr>
          <w:rFonts w:ascii="Garamond" w:hAnsi="Garamond"/>
          <w:sz w:val="26"/>
          <w:szCs w:val="26"/>
        </w:rPr>
        <w:t xml:space="preserve"> or a class he had</w:t>
      </w:r>
      <w:r w:rsidR="00D95D0D">
        <w:rPr>
          <w:rFonts w:ascii="Garamond" w:hAnsi="Garamond"/>
          <w:sz w:val="26"/>
          <w:szCs w:val="26"/>
        </w:rPr>
        <w:t xml:space="preserve"> not </w:t>
      </w:r>
      <w:r w:rsidR="00AD12FB" w:rsidRPr="00BE10AE">
        <w:rPr>
          <w:rFonts w:ascii="Garamond" w:hAnsi="Garamond"/>
          <w:sz w:val="26"/>
          <w:szCs w:val="26"/>
        </w:rPr>
        <w:t xml:space="preserve">attended? </w:t>
      </w:r>
      <w:r w:rsidR="0083027B" w:rsidRPr="00BE10AE">
        <w:rPr>
          <w:rFonts w:ascii="Garamond" w:hAnsi="Garamond"/>
          <w:sz w:val="26"/>
          <w:szCs w:val="26"/>
        </w:rPr>
        <w:t>Was your client even eligible for court-appointed representation</w:t>
      </w:r>
      <w:r w:rsidR="0080575B" w:rsidRPr="00BE10AE">
        <w:rPr>
          <w:rFonts w:ascii="Garamond" w:hAnsi="Garamond"/>
          <w:sz w:val="26"/>
          <w:szCs w:val="26"/>
        </w:rPr>
        <w:t xml:space="preserve"> in the first place</w:t>
      </w:r>
      <w:r w:rsidR="0083027B" w:rsidRPr="00BE10AE">
        <w:rPr>
          <w:rFonts w:ascii="Garamond" w:hAnsi="Garamond"/>
          <w:sz w:val="26"/>
          <w:szCs w:val="26"/>
        </w:rPr>
        <w:t>? It</w:t>
      </w:r>
      <w:r w:rsidR="0080575B" w:rsidRPr="00BE10AE">
        <w:rPr>
          <w:rFonts w:ascii="Garamond" w:hAnsi="Garamond"/>
          <w:sz w:val="26"/>
          <w:szCs w:val="26"/>
        </w:rPr>
        <w:t xml:space="preserve"> wa</w:t>
      </w:r>
      <w:r w:rsidR="0083027B" w:rsidRPr="00BE10AE">
        <w:rPr>
          <w:rFonts w:ascii="Garamond" w:hAnsi="Garamond"/>
          <w:sz w:val="26"/>
          <w:szCs w:val="26"/>
        </w:rPr>
        <w:t xml:space="preserve">s a nice shirt your client </w:t>
      </w:r>
      <w:r w:rsidR="0080575B" w:rsidRPr="00BE10AE">
        <w:rPr>
          <w:rFonts w:ascii="Garamond" w:hAnsi="Garamond"/>
          <w:sz w:val="26"/>
          <w:szCs w:val="26"/>
        </w:rPr>
        <w:t>was</w:t>
      </w:r>
      <w:r w:rsidR="0083027B" w:rsidRPr="00BE10AE">
        <w:rPr>
          <w:rFonts w:ascii="Garamond" w:hAnsi="Garamond"/>
          <w:sz w:val="26"/>
          <w:szCs w:val="26"/>
        </w:rPr>
        <w:t xml:space="preserve"> wearing, after all. Maybe he </w:t>
      </w:r>
      <w:r w:rsidR="00F20014" w:rsidRPr="00BE10AE">
        <w:rPr>
          <w:rFonts w:ascii="Garamond" w:hAnsi="Garamond"/>
          <w:sz w:val="26"/>
          <w:szCs w:val="26"/>
        </w:rPr>
        <w:t>could afford to</w:t>
      </w:r>
      <w:r w:rsidR="0008735E" w:rsidRPr="00BE10AE">
        <w:rPr>
          <w:rFonts w:ascii="Garamond" w:hAnsi="Garamond"/>
          <w:sz w:val="26"/>
          <w:szCs w:val="26"/>
        </w:rPr>
        <w:t xml:space="preserve"> hire</w:t>
      </w:r>
      <w:r w:rsidR="0083027B" w:rsidRPr="00BE10AE">
        <w:rPr>
          <w:rFonts w:ascii="Garamond" w:hAnsi="Garamond"/>
          <w:sz w:val="26"/>
          <w:szCs w:val="26"/>
        </w:rPr>
        <w:t xml:space="preserve"> his own lawyer. </w:t>
      </w:r>
    </w:p>
    <w:p w14:paraId="69774258" w14:textId="34D81529" w:rsidR="00F20014" w:rsidRPr="00BE10AE" w:rsidRDefault="00F20014" w:rsidP="0001566C">
      <w:pPr>
        <w:spacing w:line="360" w:lineRule="auto"/>
        <w:ind w:firstLine="360"/>
        <w:contextualSpacing/>
        <w:rPr>
          <w:rFonts w:ascii="Garamond" w:hAnsi="Garamond"/>
          <w:sz w:val="26"/>
          <w:szCs w:val="26"/>
        </w:rPr>
      </w:pPr>
      <w:r w:rsidRPr="00BE10AE">
        <w:rPr>
          <w:rFonts w:ascii="Garamond" w:hAnsi="Garamond"/>
          <w:sz w:val="26"/>
          <w:szCs w:val="26"/>
        </w:rPr>
        <w:t>“</w:t>
      </w:r>
      <w:r w:rsidR="0083027B" w:rsidRPr="00BE10AE">
        <w:rPr>
          <w:rFonts w:ascii="Garamond" w:hAnsi="Garamond"/>
          <w:sz w:val="26"/>
          <w:szCs w:val="26"/>
        </w:rPr>
        <w:t xml:space="preserve">And either way, </w:t>
      </w:r>
      <w:r w:rsidR="00472E6B" w:rsidRPr="00BE10AE">
        <w:rPr>
          <w:rFonts w:ascii="Garamond" w:hAnsi="Garamond"/>
          <w:sz w:val="26"/>
          <w:szCs w:val="26"/>
        </w:rPr>
        <w:t>Mr. Doyle,</w:t>
      </w:r>
      <w:r w:rsidRPr="00BE10AE">
        <w:rPr>
          <w:rFonts w:ascii="Garamond" w:hAnsi="Garamond"/>
          <w:sz w:val="26"/>
          <w:szCs w:val="26"/>
        </w:rPr>
        <w:t>” the judge would say</w:t>
      </w:r>
      <w:r w:rsidR="0008735E" w:rsidRPr="00BE10AE">
        <w:rPr>
          <w:rFonts w:ascii="Garamond" w:hAnsi="Garamond"/>
          <w:sz w:val="26"/>
          <w:szCs w:val="26"/>
        </w:rPr>
        <w:t xml:space="preserve"> to the young public defender</w:t>
      </w:r>
      <w:r w:rsidRPr="00BE10AE">
        <w:rPr>
          <w:rFonts w:ascii="Garamond" w:hAnsi="Garamond"/>
          <w:sz w:val="26"/>
          <w:szCs w:val="26"/>
        </w:rPr>
        <w:t>.</w:t>
      </w:r>
      <w:r w:rsidR="00472E6B" w:rsidRPr="00BE10AE">
        <w:rPr>
          <w:rFonts w:ascii="Garamond" w:hAnsi="Garamond"/>
          <w:sz w:val="26"/>
          <w:szCs w:val="26"/>
        </w:rPr>
        <w:t xml:space="preserve"> </w:t>
      </w:r>
      <w:r w:rsidRPr="00BE10AE">
        <w:rPr>
          <w:rFonts w:ascii="Garamond" w:hAnsi="Garamond"/>
          <w:sz w:val="26"/>
          <w:szCs w:val="26"/>
        </w:rPr>
        <w:t>“</w:t>
      </w:r>
      <w:r w:rsidR="00472E6B" w:rsidRPr="00BE10AE">
        <w:rPr>
          <w:rFonts w:ascii="Garamond" w:hAnsi="Garamond"/>
          <w:sz w:val="26"/>
          <w:szCs w:val="26"/>
        </w:rPr>
        <w:t xml:space="preserve">I think you </w:t>
      </w:r>
      <w:r w:rsidR="00987BAF" w:rsidRPr="00BE10AE">
        <w:rPr>
          <w:rFonts w:ascii="Garamond" w:hAnsi="Garamond"/>
          <w:sz w:val="26"/>
          <w:szCs w:val="26"/>
        </w:rPr>
        <w:t xml:space="preserve">and your client </w:t>
      </w:r>
      <w:r w:rsidR="00472E6B" w:rsidRPr="00BE10AE">
        <w:rPr>
          <w:rFonts w:ascii="Garamond" w:hAnsi="Garamond"/>
          <w:sz w:val="26"/>
          <w:szCs w:val="26"/>
        </w:rPr>
        <w:t xml:space="preserve">should stick around until later this afternoon, and we’ll see if we can’t find a resolution </w:t>
      </w:r>
      <w:r w:rsidR="00604183">
        <w:rPr>
          <w:rFonts w:ascii="Garamond" w:hAnsi="Garamond"/>
          <w:sz w:val="26"/>
          <w:szCs w:val="26"/>
        </w:rPr>
        <w:t>to</w:t>
      </w:r>
      <w:r w:rsidR="00472E6B" w:rsidRPr="00BE10AE">
        <w:rPr>
          <w:rFonts w:ascii="Garamond" w:hAnsi="Garamond"/>
          <w:sz w:val="26"/>
          <w:szCs w:val="26"/>
        </w:rPr>
        <w:t xml:space="preserve"> this matter.</w:t>
      </w:r>
      <w:r w:rsidRPr="00BE10AE">
        <w:rPr>
          <w:rFonts w:ascii="Garamond" w:hAnsi="Garamond"/>
          <w:sz w:val="26"/>
          <w:szCs w:val="26"/>
        </w:rPr>
        <w:t>”</w:t>
      </w:r>
    </w:p>
    <w:p w14:paraId="50CF1BF6" w14:textId="6DA9661B" w:rsidR="008C7834" w:rsidRPr="00BE10AE" w:rsidRDefault="00F20014" w:rsidP="0001566C">
      <w:pPr>
        <w:spacing w:line="360" w:lineRule="auto"/>
        <w:ind w:firstLine="360"/>
        <w:contextualSpacing/>
        <w:rPr>
          <w:rFonts w:ascii="Garamond" w:hAnsi="Garamond"/>
          <w:sz w:val="26"/>
          <w:szCs w:val="26"/>
        </w:rPr>
      </w:pPr>
      <w:r w:rsidRPr="00BE10AE">
        <w:rPr>
          <w:rFonts w:ascii="Garamond" w:hAnsi="Garamond"/>
          <w:sz w:val="26"/>
          <w:szCs w:val="26"/>
        </w:rPr>
        <w:t>But what if</w:t>
      </w:r>
      <w:r w:rsidR="008C7834" w:rsidRPr="00BE10AE">
        <w:rPr>
          <w:rFonts w:ascii="Garamond" w:hAnsi="Garamond"/>
          <w:sz w:val="26"/>
          <w:szCs w:val="26"/>
        </w:rPr>
        <w:t xml:space="preserve"> </w:t>
      </w:r>
      <w:r w:rsidRPr="00BE10AE">
        <w:rPr>
          <w:rFonts w:ascii="Garamond" w:hAnsi="Garamond"/>
          <w:sz w:val="26"/>
          <w:szCs w:val="26"/>
        </w:rPr>
        <w:t xml:space="preserve">the young public defender </w:t>
      </w:r>
      <w:r w:rsidR="00987BAF" w:rsidRPr="00BE10AE">
        <w:rPr>
          <w:rFonts w:ascii="Garamond" w:hAnsi="Garamond"/>
          <w:sz w:val="26"/>
          <w:szCs w:val="26"/>
        </w:rPr>
        <w:t>were to</w:t>
      </w:r>
      <w:r w:rsidR="008C7834" w:rsidRPr="00BE10AE">
        <w:rPr>
          <w:rFonts w:ascii="Garamond" w:hAnsi="Garamond"/>
          <w:sz w:val="26"/>
          <w:szCs w:val="26"/>
        </w:rPr>
        <w:t xml:space="preserve"> protest</w:t>
      </w:r>
      <w:r w:rsidR="00987BAF" w:rsidRPr="00BE10AE">
        <w:rPr>
          <w:rFonts w:ascii="Garamond" w:hAnsi="Garamond"/>
          <w:sz w:val="26"/>
          <w:szCs w:val="26"/>
        </w:rPr>
        <w:t xml:space="preserve"> that </w:t>
      </w:r>
      <w:r w:rsidR="00604183">
        <w:rPr>
          <w:rFonts w:ascii="Garamond" w:hAnsi="Garamond"/>
          <w:sz w:val="26"/>
          <w:szCs w:val="26"/>
        </w:rPr>
        <w:t>his</w:t>
      </w:r>
      <w:r w:rsidR="008C7834" w:rsidRPr="00BE10AE">
        <w:rPr>
          <w:rFonts w:ascii="Garamond" w:hAnsi="Garamond"/>
          <w:sz w:val="26"/>
          <w:szCs w:val="26"/>
        </w:rPr>
        <w:t xml:space="preserve"> client had to work in the afternoon? </w:t>
      </w:r>
    </w:p>
    <w:p w14:paraId="1E4E0424" w14:textId="72230738" w:rsidR="009A6B6F" w:rsidRPr="00BE10AE" w:rsidRDefault="008C7834" w:rsidP="0001566C">
      <w:pPr>
        <w:spacing w:line="360" w:lineRule="auto"/>
        <w:ind w:firstLine="360"/>
        <w:contextualSpacing/>
        <w:rPr>
          <w:rFonts w:ascii="Garamond" w:hAnsi="Garamond"/>
          <w:sz w:val="26"/>
          <w:szCs w:val="26"/>
        </w:rPr>
      </w:pPr>
      <w:r w:rsidRPr="00BE10AE">
        <w:rPr>
          <w:rFonts w:ascii="Garamond" w:hAnsi="Garamond"/>
          <w:sz w:val="26"/>
          <w:szCs w:val="26"/>
        </w:rPr>
        <w:t>“</w:t>
      </w:r>
      <w:r w:rsidR="00987BAF" w:rsidRPr="00BE10AE">
        <w:rPr>
          <w:rFonts w:ascii="Garamond" w:hAnsi="Garamond"/>
          <w:sz w:val="26"/>
          <w:szCs w:val="26"/>
        </w:rPr>
        <w:t>Well,” the judge would say. “T</w:t>
      </w:r>
      <w:r w:rsidR="00472E6B" w:rsidRPr="00BE10AE">
        <w:rPr>
          <w:rFonts w:ascii="Garamond" w:hAnsi="Garamond"/>
          <w:sz w:val="26"/>
          <w:szCs w:val="26"/>
        </w:rPr>
        <w:t>here</w:t>
      </w:r>
      <w:r w:rsidR="002C62D8" w:rsidRPr="00BE10AE">
        <w:rPr>
          <w:rFonts w:ascii="Garamond" w:hAnsi="Garamond"/>
          <w:sz w:val="26"/>
          <w:szCs w:val="26"/>
        </w:rPr>
        <w:t xml:space="preserve"> </w:t>
      </w:r>
      <w:r w:rsidR="002C62D8" w:rsidRPr="00BE10AE">
        <w:rPr>
          <w:rFonts w:ascii="Garamond" w:hAnsi="Garamond"/>
          <w:i/>
          <w:iCs/>
          <w:sz w:val="26"/>
          <w:szCs w:val="26"/>
        </w:rPr>
        <w:t>is</w:t>
      </w:r>
      <w:r w:rsidR="00472E6B" w:rsidRPr="00BE10AE">
        <w:rPr>
          <w:rFonts w:ascii="Garamond" w:hAnsi="Garamond"/>
          <w:sz w:val="26"/>
          <w:szCs w:val="26"/>
        </w:rPr>
        <w:t xml:space="preserve"> a nice offer on the table. Perhaps we could </w:t>
      </w:r>
      <w:r w:rsidR="00E0647D" w:rsidRPr="00BE10AE">
        <w:rPr>
          <w:rFonts w:ascii="Garamond" w:hAnsi="Garamond"/>
          <w:sz w:val="26"/>
          <w:szCs w:val="26"/>
        </w:rPr>
        <w:t>just resolve this now…</w:t>
      </w:r>
      <w:r w:rsidR="002C62D8" w:rsidRPr="00BE10AE">
        <w:rPr>
          <w:rFonts w:ascii="Garamond" w:hAnsi="Garamond"/>
          <w:sz w:val="26"/>
          <w:szCs w:val="26"/>
        </w:rPr>
        <w:t>”</w:t>
      </w:r>
    </w:p>
    <w:p w14:paraId="72F4D2F9" w14:textId="428D5640" w:rsidR="00E0647D" w:rsidRPr="00BE10AE" w:rsidRDefault="00E0647D" w:rsidP="0001566C">
      <w:pPr>
        <w:spacing w:line="360" w:lineRule="auto"/>
        <w:ind w:firstLine="360"/>
        <w:contextualSpacing/>
        <w:rPr>
          <w:rFonts w:ascii="Garamond" w:hAnsi="Garamond"/>
          <w:sz w:val="26"/>
          <w:szCs w:val="26"/>
        </w:rPr>
      </w:pPr>
      <w:r w:rsidRPr="00BE10AE">
        <w:rPr>
          <w:rFonts w:ascii="Garamond" w:hAnsi="Garamond"/>
          <w:sz w:val="26"/>
          <w:szCs w:val="26"/>
        </w:rPr>
        <w:t>I exaggerate only slightly</w:t>
      </w:r>
      <w:r w:rsidR="007B1077" w:rsidRPr="00BE10AE">
        <w:rPr>
          <w:rFonts w:ascii="Garamond" w:hAnsi="Garamond"/>
          <w:sz w:val="26"/>
          <w:szCs w:val="26"/>
        </w:rPr>
        <w:t xml:space="preserve"> here</w:t>
      </w:r>
      <w:r w:rsidR="00703044" w:rsidRPr="00BE10AE">
        <w:rPr>
          <w:rFonts w:ascii="Garamond" w:hAnsi="Garamond"/>
          <w:sz w:val="26"/>
          <w:szCs w:val="26"/>
        </w:rPr>
        <w:t xml:space="preserve">. </w:t>
      </w:r>
      <w:r w:rsidR="00116986" w:rsidRPr="00BE10AE">
        <w:rPr>
          <w:rFonts w:ascii="Garamond" w:hAnsi="Garamond"/>
          <w:sz w:val="26"/>
          <w:szCs w:val="26"/>
        </w:rPr>
        <w:t xml:space="preserve">The judges I appeared </w:t>
      </w:r>
      <w:r w:rsidR="007B1077" w:rsidRPr="00BE10AE">
        <w:rPr>
          <w:rFonts w:ascii="Garamond" w:hAnsi="Garamond"/>
          <w:sz w:val="26"/>
          <w:szCs w:val="26"/>
        </w:rPr>
        <w:t>in front of in Staten Island</w:t>
      </w:r>
      <w:r w:rsidR="00116986" w:rsidRPr="00BE10AE">
        <w:rPr>
          <w:rFonts w:ascii="Garamond" w:hAnsi="Garamond"/>
          <w:sz w:val="26"/>
          <w:szCs w:val="26"/>
        </w:rPr>
        <w:t xml:space="preserve"> </w:t>
      </w:r>
      <w:r w:rsidR="007B1077" w:rsidRPr="00BE10AE">
        <w:rPr>
          <w:rFonts w:ascii="Garamond" w:hAnsi="Garamond"/>
          <w:sz w:val="26"/>
          <w:szCs w:val="26"/>
        </w:rPr>
        <w:t>all</w:t>
      </w:r>
      <w:r w:rsidR="00116986" w:rsidRPr="00BE10AE">
        <w:rPr>
          <w:rFonts w:ascii="Garamond" w:hAnsi="Garamond"/>
          <w:sz w:val="26"/>
          <w:szCs w:val="26"/>
        </w:rPr>
        <w:t xml:space="preserve"> tried </w:t>
      </w:r>
      <w:r w:rsidR="00ED7050" w:rsidRPr="00BE10AE">
        <w:rPr>
          <w:rFonts w:ascii="Garamond" w:hAnsi="Garamond"/>
          <w:sz w:val="26"/>
          <w:szCs w:val="26"/>
        </w:rPr>
        <w:t>these</w:t>
      </w:r>
      <w:r w:rsidR="00116986" w:rsidRPr="00BE10AE">
        <w:rPr>
          <w:rFonts w:ascii="Garamond" w:hAnsi="Garamond"/>
          <w:sz w:val="26"/>
          <w:szCs w:val="26"/>
        </w:rPr>
        <w:t xml:space="preserve"> tricks to get my clients to plead: </w:t>
      </w:r>
      <w:r w:rsidR="00ED7050" w:rsidRPr="00BE10AE">
        <w:rPr>
          <w:rFonts w:ascii="Garamond" w:hAnsi="Garamond"/>
          <w:sz w:val="26"/>
          <w:szCs w:val="26"/>
        </w:rPr>
        <w:t>they would threaten remand</w:t>
      </w:r>
      <w:r w:rsidR="00116986" w:rsidRPr="00BE10AE">
        <w:rPr>
          <w:rFonts w:ascii="Garamond" w:hAnsi="Garamond"/>
          <w:sz w:val="26"/>
          <w:szCs w:val="26"/>
        </w:rPr>
        <w:t xml:space="preserve"> for a </w:t>
      </w:r>
      <w:r w:rsidR="00953933" w:rsidRPr="00BE10AE">
        <w:rPr>
          <w:rFonts w:ascii="Garamond" w:hAnsi="Garamond"/>
          <w:sz w:val="26"/>
          <w:szCs w:val="26"/>
        </w:rPr>
        <w:t xml:space="preserve">failure to pay a minimal fine </w:t>
      </w:r>
      <w:r w:rsidR="00ED7050" w:rsidRPr="00BE10AE">
        <w:rPr>
          <w:rFonts w:ascii="Garamond" w:hAnsi="Garamond"/>
          <w:sz w:val="26"/>
          <w:szCs w:val="26"/>
        </w:rPr>
        <w:t xml:space="preserve">or question </w:t>
      </w:r>
      <w:r w:rsidR="003A4BA7" w:rsidRPr="00BE10AE">
        <w:rPr>
          <w:rFonts w:ascii="Garamond" w:hAnsi="Garamond"/>
          <w:sz w:val="26"/>
          <w:szCs w:val="26"/>
        </w:rPr>
        <w:t xml:space="preserve">whether </w:t>
      </w:r>
      <w:r w:rsidR="00ED7050" w:rsidRPr="00BE10AE">
        <w:rPr>
          <w:rFonts w:ascii="Garamond" w:hAnsi="Garamond"/>
          <w:sz w:val="26"/>
          <w:szCs w:val="26"/>
        </w:rPr>
        <w:t>my client</w:t>
      </w:r>
      <w:r w:rsidR="003A4BA7" w:rsidRPr="00BE10AE">
        <w:rPr>
          <w:rFonts w:ascii="Garamond" w:hAnsi="Garamond"/>
          <w:sz w:val="26"/>
          <w:szCs w:val="26"/>
        </w:rPr>
        <w:t xml:space="preserve"> could</w:t>
      </w:r>
      <w:r w:rsidR="00ED7050" w:rsidRPr="00BE10AE">
        <w:rPr>
          <w:rFonts w:ascii="Garamond" w:hAnsi="Garamond"/>
          <w:sz w:val="26"/>
          <w:szCs w:val="26"/>
        </w:rPr>
        <w:t xml:space="preserve"> hire private</w:t>
      </w:r>
      <w:r w:rsidR="00953933" w:rsidRPr="00BE10AE">
        <w:rPr>
          <w:rFonts w:ascii="Garamond" w:hAnsi="Garamond"/>
          <w:sz w:val="26"/>
          <w:szCs w:val="26"/>
        </w:rPr>
        <w:t xml:space="preserve"> counsel</w:t>
      </w:r>
      <w:r w:rsidR="00ED7050" w:rsidRPr="00BE10AE">
        <w:rPr>
          <w:rFonts w:ascii="Garamond" w:hAnsi="Garamond"/>
          <w:sz w:val="26"/>
          <w:szCs w:val="26"/>
        </w:rPr>
        <w:t xml:space="preserve"> or</w:t>
      </w:r>
      <w:r w:rsidR="00953933" w:rsidRPr="00BE10AE">
        <w:rPr>
          <w:rFonts w:ascii="Garamond" w:hAnsi="Garamond"/>
          <w:sz w:val="26"/>
          <w:szCs w:val="26"/>
        </w:rPr>
        <w:t xml:space="preserve"> </w:t>
      </w:r>
      <w:r w:rsidR="003A4BA7" w:rsidRPr="00BE10AE">
        <w:rPr>
          <w:rFonts w:ascii="Garamond" w:hAnsi="Garamond"/>
          <w:sz w:val="26"/>
          <w:szCs w:val="26"/>
        </w:rPr>
        <w:t xml:space="preserve">otherwise </w:t>
      </w:r>
      <w:r w:rsidR="00953933" w:rsidRPr="00BE10AE">
        <w:rPr>
          <w:rFonts w:ascii="Garamond" w:hAnsi="Garamond"/>
          <w:sz w:val="26"/>
          <w:szCs w:val="26"/>
        </w:rPr>
        <w:t>mak</w:t>
      </w:r>
      <w:r w:rsidR="00ED7050" w:rsidRPr="00BE10AE">
        <w:rPr>
          <w:rFonts w:ascii="Garamond" w:hAnsi="Garamond"/>
          <w:sz w:val="26"/>
          <w:szCs w:val="26"/>
        </w:rPr>
        <w:t>e</w:t>
      </w:r>
      <w:r w:rsidR="00953933" w:rsidRPr="00BE10AE">
        <w:rPr>
          <w:rFonts w:ascii="Garamond" w:hAnsi="Garamond"/>
          <w:sz w:val="26"/>
          <w:szCs w:val="26"/>
        </w:rPr>
        <w:t xml:space="preserve"> them stay all </w:t>
      </w:r>
      <w:r w:rsidR="00400783" w:rsidRPr="00BE10AE">
        <w:rPr>
          <w:rFonts w:ascii="Garamond" w:hAnsi="Garamond"/>
          <w:sz w:val="26"/>
          <w:szCs w:val="26"/>
        </w:rPr>
        <w:t>afternoon</w:t>
      </w:r>
      <w:r w:rsidR="00953933" w:rsidRPr="00BE10AE">
        <w:rPr>
          <w:rFonts w:ascii="Garamond" w:hAnsi="Garamond"/>
          <w:sz w:val="26"/>
          <w:szCs w:val="26"/>
        </w:rPr>
        <w:t xml:space="preserve"> just to talk about whether </w:t>
      </w:r>
      <w:r w:rsidR="00400783" w:rsidRPr="00BE10AE">
        <w:rPr>
          <w:rFonts w:ascii="Garamond" w:hAnsi="Garamond"/>
          <w:sz w:val="26"/>
          <w:szCs w:val="26"/>
        </w:rPr>
        <w:t xml:space="preserve">the case </w:t>
      </w:r>
      <w:r w:rsidR="00114D56">
        <w:rPr>
          <w:rFonts w:ascii="Garamond" w:hAnsi="Garamond"/>
          <w:sz w:val="26"/>
          <w:szCs w:val="26"/>
        </w:rPr>
        <w:t>w</w:t>
      </w:r>
      <w:r w:rsidR="00400783" w:rsidRPr="00BE10AE">
        <w:rPr>
          <w:rFonts w:ascii="Garamond" w:hAnsi="Garamond"/>
          <w:sz w:val="26"/>
          <w:szCs w:val="26"/>
        </w:rPr>
        <w:t>ould resolve</w:t>
      </w:r>
      <w:r w:rsidR="00953933" w:rsidRPr="00BE10AE">
        <w:rPr>
          <w:rFonts w:ascii="Garamond" w:hAnsi="Garamond"/>
          <w:sz w:val="26"/>
          <w:szCs w:val="26"/>
        </w:rPr>
        <w:t xml:space="preserve">. </w:t>
      </w:r>
      <w:r w:rsidR="00400783" w:rsidRPr="00BE10AE">
        <w:rPr>
          <w:rFonts w:ascii="Garamond" w:hAnsi="Garamond"/>
          <w:sz w:val="26"/>
          <w:szCs w:val="26"/>
        </w:rPr>
        <w:t>It would be rare for a judge to try all of these at once, but t</w:t>
      </w:r>
      <w:r w:rsidR="00703044" w:rsidRPr="00BE10AE">
        <w:rPr>
          <w:rFonts w:ascii="Garamond" w:hAnsi="Garamond"/>
          <w:sz w:val="26"/>
          <w:szCs w:val="26"/>
        </w:rPr>
        <w:t>he reality is that</w:t>
      </w:r>
      <w:r w:rsidR="003A4BA7" w:rsidRPr="00BE10AE">
        <w:rPr>
          <w:rFonts w:ascii="Garamond" w:hAnsi="Garamond"/>
          <w:sz w:val="26"/>
          <w:szCs w:val="26"/>
        </w:rPr>
        <w:t>,</w:t>
      </w:r>
      <w:r w:rsidR="00703044" w:rsidRPr="00BE10AE">
        <w:rPr>
          <w:rFonts w:ascii="Garamond" w:hAnsi="Garamond"/>
          <w:sz w:val="26"/>
          <w:szCs w:val="26"/>
        </w:rPr>
        <w:t xml:space="preserve"> in Staten Island</w:t>
      </w:r>
      <w:r w:rsidR="00BB30ED" w:rsidRPr="00BE10AE">
        <w:rPr>
          <w:rFonts w:ascii="Garamond" w:hAnsi="Garamond"/>
          <w:sz w:val="26"/>
          <w:szCs w:val="26"/>
        </w:rPr>
        <w:t>, just</w:t>
      </w:r>
      <w:r w:rsidR="00703044" w:rsidRPr="00BE10AE">
        <w:rPr>
          <w:rFonts w:ascii="Garamond" w:hAnsi="Garamond"/>
          <w:sz w:val="26"/>
          <w:szCs w:val="26"/>
        </w:rPr>
        <w:t xml:space="preserve"> as in most of California, judges are absolutely </w:t>
      </w:r>
      <w:r w:rsidR="00CD132B" w:rsidRPr="00BE10AE">
        <w:rPr>
          <w:rFonts w:ascii="Garamond" w:hAnsi="Garamond"/>
          <w:sz w:val="26"/>
          <w:szCs w:val="26"/>
        </w:rPr>
        <w:t>swamped. The court system is overloaded for them, too</w:t>
      </w:r>
      <w:r w:rsidR="00400783" w:rsidRPr="00BE10AE">
        <w:rPr>
          <w:rFonts w:ascii="Garamond" w:hAnsi="Garamond"/>
          <w:sz w:val="26"/>
          <w:szCs w:val="26"/>
        </w:rPr>
        <w:t>, and they are desperate for ways to deal with the congestion</w:t>
      </w:r>
      <w:r w:rsidR="00CD132B" w:rsidRPr="00BE10AE">
        <w:rPr>
          <w:rFonts w:ascii="Garamond" w:hAnsi="Garamond"/>
          <w:sz w:val="26"/>
          <w:szCs w:val="26"/>
        </w:rPr>
        <w:t xml:space="preserve">. </w:t>
      </w:r>
      <w:r w:rsidR="00345FB8" w:rsidRPr="00BE10AE">
        <w:rPr>
          <w:rFonts w:ascii="Garamond" w:hAnsi="Garamond"/>
          <w:sz w:val="26"/>
          <w:szCs w:val="26"/>
        </w:rPr>
        <w:t xml:space="preserve">They are working under tremendous pressure, so it’s unsurprising that, even when acting conscientiously and </w:t>
      </w:r>
      <w:r w:rsidR="006339AA" w:rsidRPr="00BE10AE">
        <w:rPr>
          <w:rFonts w:ascii="Garamond" w:hAnsi="Garamond"/>
          <w:sz w:val="26"/>
          <w:szCs w:val="26"/>
        </w:rPr>
        <w:t xml:space="preserve">with consideration for your client’s rights, some judges will step over the line and try to use their power to pressure </w:t>
      </w:r>
      <w:r w:rsidR="00A4155C" w:rsidRPr="00BE10AE">
        <w:rPr>
          <w:rFonts w:ascii="Garamond" w:hAnsi="Garamond"/>
          <w:sz w:val="26"/>
          <w:szCs w:val="26"/>
        </w:rPr>
        <w:t>a client to plead or to pressure a jury to convict or to otherwise make the system move a little faster than it should.</w:t>
      </w:r>
    </w:p>
    <w:p w14:paraId="529F39C6" w14:textId="6B0C4CD4" w:rsidR="003F32A7" w:rsidRPr="00BE10AE" w:rsidRDefault="00A4155C" w:rsidP="00583A5B">
      <w:pPr>
        <w:spacing w:line="360" w:lineRule="auto"/>
        <w:ind w:firstLine="360"/>
        <w:contextualSpacing/>
        <w:rPr>
          <w:rFonts w:ascii="Garamond" w:hAnsi="Garamond"/>
          <w:sz w:val="26"/>
          <w:szCs w:val="26"/>
        </w:rPr>
      </w:pPr>
      <w:r w:rsidRPr="00BE10AE">
        <w:rPr>
          <w:rFonts w:ascii="Garamond" w:hAnsi="Garamond"/>
          <w:sz w:val="26"/>
          <w:szCs w:val="26"/>
        </w:rPr>
        <w:t xml:space="preserve">That’s what this article is about. It’s about judges </w:t>
      </w:r>
      <w:r w:rsidR="005F06DF" w:rsidRPr="00BE10AE">
        <w:rPr>
          <w:rFonts w:ascii="Garamond" w:hAnsi="Garamond"/>
          <w:sz w:val="26"/>
          <w:szCs w:val="26"/>
        </w:rPr>
        <w:t xml:space="preserve">going a little too far in trying to work out a resolution </w:t>
      </w:r>
      <w:r w:rsidR="007F1C7F" w:rsidRPr="00BE10AE">
        <w:rPr>
          <w:rFonts w:ascii="Garamond" w:hAnsi="Garamond"/>
          <w:sz w:val="26"/>
          <w:szCs w:val="26"/>
        </w:rPr>
        <w:t xml:space="preserve">or </w:t>
      </w:r>
      <w:r w:rsidR="00CC7A63" w:rsidRPr="00BE10AE">
        <w:rPr>
          <w:rFonts w:ascii="Garamond" w:hAnsi="Garamond"/>
          <w:sz w:val="26"/>
          <w:szCs w:val="26"/>
        </w:rPr>
        <w:t>being a little too pushy in getting the jury to</w:t>
      </w:r>
      <w:r w:rsidR="007F1C7F" w:rsidRPr="00BE10AE">
        <w:rPr>
          <w:rFonts w:ascii="Garamond" w:hAnsi="Garamond"/>
          <w:sz w:val="26"/>
          <w:szCs w:val="26"/>
        </w:rPr>
        <w:t xml:space="preserve"> reach a verdict. </w:t>
      </w:r>
      <w:r w:rsidR="0010224E" w:rsidRPr="00BE10AE">
        <w:rPr>
          <w:rFonts w:ascii="Garamond" w:hAnsi="Garamond"/>
          <w:sz w:val="26"/>
          <w:szCs w:val="26"/>
        </w:rPr>
        <w:t xml:space="preserve">Our clients have a right to be free </w:t>
      </w:r>
      <w:r w:rsidR="00411A23">
        <w:rPr>
          <w:rFonts w:ascii="Garamond" w:hAnsi="Garamond"/>
          <w:sz w:val="26"/>
          <w:szCs w:val="26"/>
        </w:rPr>
        <w:t>from</w:t>
      </w:r>
      <w:r w:rsidR="0010224E" w:rsidRPr="00BE10AE">
        <w:rPr>
          <w:rFonts w:ascii="Garamond" w:hAnsi="Garamond"/>
          <w:sz w:val="26"/>
          <w:szCs w:val="26"/>
        </w:rPr>
        <w:t xml:space="preserve"> duress when deciding whether to enter a plea</w:t>
      </w:r>
      <w:r w:rsidR="000068AC" w:rsidRPr="00BE10AE">
        <w:rPr>
          <w:rFonts w:ascii="Garamond" w:hAnsi="Garamond"/>
          <w:sz w:val="26"/>
          <w:szCs w:val="26"/>
        </w:rPr>
        <w:t xml:space="preserve"> just as they have a right </w:t>
      </w:r>
      <w:r w:rsidR="0010224E" w:rsidRPr="00BE10AE">
        <w:rPr>
          <w:rFonts w:ascii="Garamond" w:hAnsi="Garamond"/>
          <w:sz w:val="26"/>
          <w:szCs w:val="26"/>
        </w:rPr>
        <w:t xml:space="preserve">jurors </w:t>
      </w:r>
      <w:r w:rsidR="00411A23">
        <w:rPr>
          <w:rFonts w:ascii="Garamond" w:hAnsi="Garamond"/>
          <w:sz w:val="26"/>
          <w:szCs w:val="26"/>
        </w:rPr>
        <w:t>who will decide</w:t>
      </w:r>
      <w:r w:rsidR="000068AC" w:rsidRPr="00BE10AE">
        <w:rPr>
          <w:rFonts w:ascii="Garamond" w:hAnsi="Garamond"/>
          <w:sz w:val="26"/>
          <w:szCs w:val="26"/>
        </w:rPr>
        <w:t xml:space="preserve"> their case</w:t>
      </w:r>
      <w:r w:rsidR="00E13D81">
        <w:rPr>
          <w:rFonts w:ascii="Garamond" w:hAnsi="Garamond"/>
          <w:sz w:val="26"/>
          <w:szCs w:val="26"/>
        </w:rPr>
        <w:t>s</w:t>
      </w:r>
      <w:r w:rsidR="001F154E" w:rsidRPr="00BE10AE">
        <w:rPr>
          <w:rFonts w:ascii="Garamond" w:hAnsi="Garamond"/>
          <w:sz w:val="26"/>
          <w:szCs w:val="26"/>
        </w:rPr>
        <w:t xml:space="preserve"> without </w:t>
      </w:r>
      <w:r w:rsidR="00E13D81">
        <w:rPr>
          <w:rFonts w:ascii="Garamond" w:hAnsi="Garamond"/>
          <w:sz w:val="26"/>
          <w:szCs w:val="26"/>
        </w:rPr>
        <w:t>some</w:t>
      </w:r>
      <w:r w:rsidR="001F154E" w:rsidRPr="00BE10AE">
        <w:rPr>
          <w:rFonts w:ascii="Garamond" w:hAnsi="Garamond"/>
          <w:sz w:val="26"/>
          <w:szCs w:val="26"/>
        </w:rPr>
        <w:t xml:space="preserve"> judge breathing down their necks. </w:t>
      </w:r>
      <w:r w:rsidR="00035237" w:rsidRPr="00BE10AE">
        <w:rPr>
          <w:rFonts w:ascii="Garamond" w:hAnsi="Garamond"/>
          <w:sz w:val="26"/>
          <w:szCs w:val="26"/>
        </w:rPr>
        <w:t>Below I’ll explain how judges at times coerce both our clients and</w:t>
      </w:r>
      <w:r w:rsidR="0095483E" w:rsidRPr="00BE10AE">
        <w:rPr>
          <w:rFonts w:ascii="Garamond" w:hAnsi="Garamond"/>
          <w:sz w:val="26"/>
          <w:szCs w:val="26"/>
        </w:rPr>
        <w:t xml:space="preserve"> their</w:t>
      </w:r>
      <w:r w:rsidR="00035237" w:rsidRPr="00BE10AE">
        <w:rPr>
          <w:rFonts w:ascii="Garamond" w:hAnsi="Garamond"/>
          <w:sz w:val="26"/>
          <w:szCs w:val="26"/>
        </w:rPr>
        <w:t xml:space="preserve"> juries a</w:t>
      </w:r>
      <w:r w:rsidR="00A506E1" w:rsidRPr="00BE10AE">
        <w:rPr>
          <w:rFonts w:ascii="Garamond" w:hAnsi="Garamond"/>
          <w:sz w:val="26"/>
          <w:szCs w:val="26"/>
        </w:rPr>
        <w:t>s well as how counsel should litigate these issues on appeal. And</w:t>
      </w:r>
      <w:r w:rsidR="00C501C3" w:rsidRPr="00BE10AE">
        <w:rPr>
          <w:rFonts w:ascii="Garamond" w:hAnsi="Garamond"/>
          <w:sz w:val="26"/>
          <w:szCs w:val="26"/>
        </w:rPr>
        <w:t xml:space="preserve"> because</w:t>
      </w:r>
      <w:r w:rsidR="0060589E" w:rsidRPr="00BE10AE">
        <w:rPr>
          <w:rFonts w:ascii="Garamond" w:hAnsi="Garamond"/>
          <w:sz w:val="26"/>
          <w:szCs w:val="26"/>
        </w:rPr>
        <w:t xml:space="preserve"> </w:t>
      </w:r>
      <w:r w:rsidR="004D3060" w:rsidRPr="00BE10AE">
        <w:rPr>
          <w:rFonts w:ascii="Garamond" w:hAnsi="Garamond"/>
          <w:sz w:val="26"/>
          <w:szCs w:val="26"/>
        </w:rPr>
        <w:t>these</w:t>
      </w:r>
      <w:r w:rsidR="0060589E" w:rsidRPr="00BE10AE">
        <w:rPr>
          <w:rFonts w:ascii="Garamond" w:hAnsi="Garamond"/>
          <w:sz w:val="26"/>
          <w:szCs w:val="26"/>
        </w:rPr>
        <w:t xml:space="preserve"> two areas</w:t>
      </w:r>
      <w:r w:rsidR="00C501C3" w:rsidRPr="00BE10AE">
        <w:rPr>
          <w:rFonts w:ascii="Garamond" w:hAnsi="Garamond"/>
          <w:sz w:val="26"/>
          <w:szCs w:val="26"/>
        </w:rPr>
        <w:t xml:space="preserve"> hardly exhaust</w:t>
      </w:r>
      <w:r w:rsidR="0060589E" w:rsidRPr="00BE10AE">
        <w:rPr>
          <w:rFonts w:ascii="Garamond" w:hAnsi="Garamond"/>
          <w:sz w:val="26"/>
          <w:szCs w:val="26"/>
        </w:rPr>
        <w:t xml:space="preserve"> </w:t>
      </w:r>
      <w:r w:rsidR="00C501C3" w:rsidRPr="00BE10AE">
        <w:rPr>
          <w:rFonts w:ascii="Garamond" w:hAnsi="Garamond"/>
          <w:sz w:val="26"/>
          <w:szCs w:val="26"/>
        </w:rPr>
        <w:t xml:space="preserve">the </w:t>
      </w:r>
      <w:r w:rsidR="0060589E" w:rsidRPr="00BE10AE">
        <w:rPr>
          <w:rFonts w:ascii="Garamond" w:hAnsi="Garamond"/>
          <w:sz w:val="26"/>
          <w:szCs w:val="26"/>
        </w:rPr>
        <w:t>breadth of judicial misconduct that occasionally arises in our courts, I will, at the end</w:t>
      </w:r>
      <w:r w:rsidR="004D3060" w:rsidRPr="00BE10AE">
        <w:rPr>
          <w:rFonts w:ascii="Garamond" w:hAnsi="Garamond"/>
          <w:sz w:val="26"/>
          <w:szCs w:val="26"/>
        </w:rPr>
        <w:t xml:space="preserve"> of </w:t>
      </w:r>
      <w:r w:rsidR="004D3060" w:rsidRPr="00BE10AE">
        <w:rPr>
          <w:rFonts w:ascii="Garamond" w:hAnsi="Garamond"/>
          <w:sz w:val="26"/>
          <w:szCs w:val="26"/>
        </w:rPr>
        <w:lastRenderedPageBreak/>
        <w:t>this article,</w:t>
      </w:r>
      <w:r w:rsidR="0060589E" w:rsidRPr="00BE10AE">
        <w:rPr>
          <w:rFonts w:ascii="Garamond" w:hAnsi="Garamond"/>
          <w:sz w:val="26"/>
          <w:szCs w:val="26"/>
        </w:rPr>
        <w:t xml:space="preserve"> </w:t>
      </w:r>
      <w:r w:rsidR="00DC37E7" w:rsidRPr="00BE10AE">
        <w:rPr>
          <w:rFonts w:ascii="Garamond" w:hAnsi="Garamond"/>
          <w:sz w:val="26"/>
          <w:szCs w:val="26"/>
        </w:rPr>
        <w:t xml:space="preserve">go through a </w:t>
      </w:r>
      <w:r w:rsidR="00A506E1" w:rsidRPr="00BE10AE">
        <w:rPr>
          <w:rFonts w:ascii="Garamond" w:hAnsi="Garamond"/>
          <w:sz w:val="26"/>
          <w:szCs w:val="26"/>
        </w:rPr>
        <w:t>handful</w:t>
      </w:r>
      <w:r w:rsidR="00DC37E7" w:rsidRPr="00BE10AE">
        <w:rPr>
          <w:rFonts w:ascii="Garamond" w:hAnsi="Garamond"/>
          <w:sz w:val="26"/>
          <w:szCs w:val="26"/>
        </w:rPr>
        <w:t xml:space="preserve"> of other</w:t>
      </w:r>
      <w:r w:rsidR="00A506E1" w:rsidRPr="00BE10AE">
        <w:rPr>
          <w:rFonts w:ascii="Garamond" w:hAnsi="Garamond"/>
          <w:sz w:val="26"/>
          <w:szCs w:val="26"/>
        </w:rPr>
        <w:t xml:space="preserve"> kinds of judicial misconduct that</w:t>
      </w:r>
      <w:r w:rsidR="00DC37E7" w:rsidRPr="00BE10AE">
        <w:rPr>
          <w:rFonts w:ascii="Garamond" w:hAnsi="Garamond"/>
          <w:sz w:val="26"/>
          <w:szCs w:val="26"/>
        </w:rPr>
        <w:t xml:space="preserve"> appellate counsel should look</w:t>
      </w:r>
      <w:r w:rsidR="00930DD6" w:rsidRPr="00BE10AE">
        <w:rPr>
          <w:rFonts w:ascii="Garamond" w:hAnsi="Garamond"/>
          <w:sz w:val="26"/>
          <w:szCs w:val="26"/>
        </w:rPr>
        <w:t xml:space="preserve"> out for.</w:t>
      </w:r>
      <w:r w:rsidR="008B207B" w:rsidRPr="00BE10AE">
        <w:rPr>
          <w:rFonts w:ascii="Garamond" w:hAnsi="Garamond"/>
          <w:sz w:val="26"/>
          <w:szCs w:val="26"/>
        </w:rPr>
        <w:t xml:space="preserve"> </w:t>
      </w:r>
    </w:p>
    <w:p w14:paraId="08FDE110" w14:textId="66ECFB70" w:rsidR="00CD79F7" w:rsidRPr="00BE10AE" w:rsidRDefault="00B8134F" w:rsidP="00583A5B">
      <w:pPr>
        <w:spacing w:line="360" w:lineRule="auto"/>
        <w:ind w:firstLine="360"/>
        <w:contextualSpacing/>
        <w:rPr>
          <w:rFonts w:ascii="Garamond" w:hAnsi="Garamond"/>
          <w:sz w:val="26"/>
          <w:szCs w:val="26"/>
        </w:rPr>
      </w:pPr>
      <w:r w:rsidRPr="00BE10AE">
        <w:rPr>
          <w:rFonts w:ascii="Garamond" w:hAnsi="Garamond"/>
          <w:sz w:val="26"/>
          <w:szCs w:val="26"/>
        </w:rPr>
        <w:t>I’ll start with</w:t>
      </w:r>
      <w:r w:rsidR="00CD79F7" w:rsidRPr="00BE10AE">
        <w:rPr>
          <w:rFonts w:ascii="Garamond" w:hAnsi="Garamond"/>
          <w:sz w:val="26"/>
          <w:szCs w:val="26"/>
        </w:rPr>
        <w:t xml:space="preserve"> judges coercing pleas. </w:t>
      </w:r>
    </w:p>
    <w:p w14:paraId="7C1454DB" w14:textId="3267A5D4" w:rsidR="00537044" w:rsidRPr="00BE10AE" w:rsidRDefault="008C643D" w:rsidP="00310FA2">
      <w:pPr>
        <w:pStyle w:val="ListParagraph"/>
        <w:numPr>
          <w:ilvl w:val="0"/>
          <w:numId w:val="2"/>
        </w:numPr>
        <w:spacing w:line="360" w:lineRule="auto"/>
        <w:rPr>
          <w:rFonts w:ascii="Garamond" w:hAnsi="Garamond"/>
          <w:b/>
          <w:bCs/>
          <w:sz w:val="26"/>
          <w:szCs w:val="26"/>
        </w:rPr>
      </w:pPr>
      <w:r>
        <w:rPr>
          <w:rFonts w:ascii="Garamond" w:hAnsi="Garamond"/>
          <w:b/>
          <w:bCs/>
          <w:sz w:val="26"/>
          <w:szCs w:val="26"/>
        </w:rPr>
        <w:t>Judicial coercion of guilty pleas</w:t>
      </w:r>
    </w:p>
    <w:p w14:paraId="22053B9B" w14:textId="0FD9665E" w:rsidR="00583A5B" w:rsidRPr="00BE10AE" w:rsidRDefault="00027287" w:rsidP="00310FA2">
      <w:pPr>
        <w:pStyle w:val="ListParagraph"/>
        <w:numPr>
          <w:ilvl w:val="1"/>
          <w:numId w:val="2"/>
        </w:numPr>
        <w:spacing w:line="360" w:lineRule="auto"/>
        <w:rPr>
          <w:rFonts w:ascii="Garamond" w:hAnsi="Garamond"/>
          <w:b/>
          <w:bCs/>
          <w:sz w:val="26"/>
          <w:szCs w:val="26"/>
        </w:rPr>
      </w:pPr>
      <w:r w:rsidRPr="00BE10AE">
        <w:rPr>
          <w:rFonts w:ascii="Garamond" w:hAnsi="Garamond"/>
          <w:b/>
          <w:bCs/>
          <w:sz w:val="26"/>
          <w:szCs w:val="26"/>
        </w:rPr>
        <w:t>So</w:t>
      </w:r>
      <w:r w:rsidR="001E1B9C" w:rsidRPr="00BE10AE">
        <w:rPr>
          <w:rFonts w:ascii="Garamond" w:hAnsi="Garamond"/>
          <w:b/>
          <w:bCs/>
          <w:sz w:val="26"/>
          <w:szCs w:val="26"/>
        </w:rPr>
        <w:t xml:space="preserve"> </w:t>
      </w:r>
      <w:r w:rsidR="00583A5B" w:rsidRPr="00BE10AE">
        <w:rPr>
          <w:rFonts w:ascii="Garamond" w:hAnsi="Garamond"/>
          <w:b/>
          <w:bCs/>
          <w:sz w:val="26"/>
          <w:szCs w:val="26"/>
        </w:rPr>
        <w:t xml:space="preserve">the judge </w:t>
      </w:r>
      <w:r w:rsidR="00513F5D" w:rsidRPr="00BE10AE">
        <w:rPr>
          <w:rFonts w:ascii="Garamond" w:hAnsi="Garamond"/>
          <w:b/>
          <w:bCs/>
          <w:sz w:val="26"/>
          <w:szCs w:val="26"/>
        </w:rPr>
        <w:t>told</w:t>
      </w:r>
      <w:r w:rsidR="00583A5B" w:rsidRPr="00BE10AE">
        <w:rPr>
          <w:rFonts w:ascii="Garamond" w:hAnsi="Garamond"/>
          <w:b/>
          <w:bCs/>
          <w:sz w:val="26"/>
          <w:szCs w:val="26"/>
        </w:rPr>
        <w:t xml:space="preserve"> your guy to plead</w:t>
      </w:r>
      <w:r w:rsidR="00E34DE1" w:rsidRPr="00BE10AE">
        <w:rPr>
          <w:rFonts w:ascii="Garamond" w:hAnsi="Garamond"/>
          <w:b/>
          <w:bCs/>
          <w:sz w:val="26"/>
          <w:szCs w:val="26"/>
        </w:rPr>
        <w:t>…</w:t>
      </w:r>
    </w:p>
    <w:p w14:paraId="34DBB93D" w14:textId="0C20ADD0" w:rsidR="00BB5431" w:rsidRPr="00BE10AE" w:rsidRDefault="00B8134F" w:rsidP="00BB5431">
      <w:pPr>
        <w:spacing w:line="360" w:lineRule="auto"/>
        <w:ind w:firstLine="360"/>
        <w:contextualSpacing/>
        <w:rPr>
          <w:rFonts w:ascii="Garamond" w:hAnsi="Garamond"/>
          <w:sz w:val="26"/>
          <w:szCs w:val="26"/>
        </w:rPr>
      </w:pPr>
      <w:r w:rsidRPr="00BE10AE">
        <w:rPr>
          <w:rFonts w:ascii="Garamond" w:hAnsi="Garamond"/>
          <w:sz w:val="26"/>
          <w:szCs w:val="26"/>
        </w:rPr>
        <w:t>Here’s</w:t>
      </w:r>
      <w:r w:rsidR="00027287" w:rsidRPr="00BE10AE">
        <w:rPr>
          <w:rFonts w:ascii="Garamond" w:hAnsi="Garamond"/>
          <w:sz w:val="26"/>
          <w:szCs w:val="26"/>
        </w:rPr>
        <w:t xml:space="preserve"> a hypothetical scenario: </w:t>
      </w:r>
      <w:r w:rsidR="00AB48D5" w:rsidRPr="00BE10AE">
        <w:rPr>
          <w:rFonts w:ascii="Garamond" w:hAnsi="Garamond"/>
          <w:sz w:val="26"/>
          <w:szCs w:val="26"/>
        </w:rPr>
        <w:t>In the trial court, y</w:t>
      </w:r>
      <w:r w:rsidR="00510D6F" w:rsidRPr="00BE10AE">
        <w:rPr>
          <w:rFonts w:ascii="Garamond" w:hAnsi="Garamond"/>
          <w:sz w:val="26"/>
          <w:szCs w:val="26"/>
        </w:rPr>
        <w:t xml:space="preserve">our client </w:t>
      </w:r>
      <w:r w:rsidR="00AB48D5" w:rsidRPr="00BE10AE">
        <w:rPr>
          <w:rFonts w:ascii="Garamond" w:hAnsi="Garamond"/>
          <w:sz w:val="26"/>
          <w:szCs w:val="26"/>
        </w:rPr>
        <w:t>was</w:t>
      </w:r>
      <w:r w:rsidR="00032B91" w:rsidRPr="00BE10AE">
        <w:rPr>
          <w:rFonts w:ascii="Garamond" w:hAnsi="Garamond"/>
          <w:sz w:val="26"/>
          <w:szCs w:val="26"/>
        </w:rPr>
        <w:t xml:space="preserve"> facing child-molest charges </w:t>
      </w:r>
      <w:r w:rsidR="00510D6F" w:rsidRPr="00BE10AE">
        <w:rPr>
          <w:rFonts w:ascii="Garamond" w:hAnsi="Garamond"/>
          <w:sz w:val="26"/>
          <w:szCs w:val="26"/>
        </w:rPr>
        <w:t>with</w:t>
      </w:r>
      <w:r w:rsidR="00032B91" w:rsidRPr="00BE10AE">
        <w:rPr>
          <w:rFonts w:ascii="Garamond" w:hAnsi="Garamond"/>
          <w:sz w:val="26"/>
          <w:szCs w:val="26"/>
        </w:rPr>
        <w:t xml:space="preserve"> multiple complaining witnesses</w:t>
      </w:r>
      <w:r w:rsidR="00510D6F" w:rsidRPr="00BE10AE">
        <w:rPr>
          <w:rFonts w:ascii="Garamond" w:hAnsi="Garamond"/>
          <w:sz w:val="26"/>
          <w:szCs w:val="26"/>
        </w:rPr>
        <w:t xml:space="preserve">. The </w:t>
      </w:r>
      <w:r w:rsidR="00600735" w:rsidRPr="00BE10AE">
        <w:rPr>
          <w:rFonts w:ascii="Garamond" w:hAnsi="Garamond"/>
          <w:sz w:val="26"/>
          <w:szCs w:val="26"/>
        </w:rPr>
        <w:t>prosecutor offer</w:t>
      </w:r>
      <w:r w:rsidR="00AB48D5" w:rsidRPr="00BE10AE">
        <w:rPr>
          <w:rFonts w:ascii="Garamond" w:hAnsi="Garamond"/>
          <w:sz w:val="26"/>
          <w:szCs w:val="26"/>
        </w:rPr>
        <w:t>ed</w:t>
      </w:r>
      <w:r w:rsidR="00600735" w:rsidRPr="00BE10AE">
        <w:rPr>
          <w:rFonts w:ascii="Garamond" w:hAnsi="Garamond"/>
          <w:sz w:val="26"/>
          <w:szCs w:val="26"/>
        </w:rPr>
        <w:t xml:space="preserve"> your client a </w:t>
      </w:r>
      <w:r w:rsidR="00FD4631" w:rsidRPr="00BE10AE">
        <w:rPr>
          <w:rFonts w:ascii="Garamond" w:hAnsi="Garamond"/>
          <w:sz w:val="26"/>
          <w:szCs w:val="26"/>
        </w:rPr>
        <w:t xml:space="preserve">lengthy </w:t>
      </w:r>
      <w:r w:rsidR="008A5E5C" w:rsidRPr="00BE10AE">
        <w:rPr>
          <w:rFonts w:ascii="Garamond" w:hAnsi="Garamond"/>
          <w:sz w:val="26"/>
          <w:szCs w:val="26"/>
        </w:rPr>
        <w:t>stipulated</w:t>
      </w:r>
      <w:r w:rsidR="00FD4631" w:rsidRPr="00BE10AE">
        <w:rPr>
          <w:rFonts w:ascii="Garamond" w:hAnsi="Garamond"/>
          <w:sz w:val="26"/>
          <w:szCs w:val="26"/>
        </w:rPr>
        <w:t xml:space="preserve"> prison term</w:t>
      </w:r>
      <w:r w:rsidR="00316DE8" w:rsidRPr="00BE10AE">
        <w:rPr>
          <w:rFonts w:ascii="Garamond" w:hAnsi="Garamond"/>
          <w:sz w:val="26"/>
          <w:szCs w:val="26"/>
        </w:rPr>
        <w:t xml:space="preserve"> (</w:t>
      </w:r>
      <w:r w:rsidR="00510D6F" w:rsidRPr="00BE10AE">
        <w:rPr>
          <w:rFonts w:ascii="Garamond" w:hAnsi="Garamond"/>
          <w:sz w:val="26"/>
          <w:szCs w:val="26"/>
        </w:rPr>
        <w:t>sadly</w:t>
      </w:r>
      <w:r w:rsidR="00F25B05">
        <w:rPr>
          <w:rFonts w:ascii="Garamond" w:hAnsi="Garamond"/>
          <w:sz w:val="26"/>
          <w:szCs w:val="26"/>
        </w:rPr>
        <w:t>,</w:t>
      </w:r>
      <w:r w:rsidR="00510D6F" w:rsidRPr="00BE10AE">
        <w:rPr>
          <w:rFonts w:ascii="Garamond" w:hAnsi="Garamond"/>
          <w:sz w:val="26"/>
          <w:szCs w:val="26"/>
        </w:rPr>
        <w:t xml:space="preserve"> not</w:t>
      </w:r>
      <w:r w:rsidR="00503727" w:rsidRPr="00BE10AE">
        <w:rPr>
          <w:rFonts w:ascii="Garamond" w:hAnsi="Garamond"/>
          <w:sz w:val="26"/>
          <w:szCs w:val="26"/>
        </w:rPr>
        <w:t xml:space="preserve"> </w:t>
      </w:r>
      <w:r w:rsidR="00531805" w:rsidRPr="00BE10AE">
        <w:rPr>
          <w:rFonts w:ascii="Garamond" w:hAnsi="Garamond"/>
          <w:sz w:val="26"/>
          <w:szCs w:val="26"/>
        </w:rPr>
        <w:t xml:space="preserve">a terrible offer </w:t>
      </w:r>
      <w:r w:rsidR="00170C1F" w:rsidRPr="00BE10AE">
        <w:rPr>
          <w:rFonts w:ascii="Garamond" w:hAnsi="Garamond"/>
          <w:sz w:val="26"/>
          <w:szCs w:val="26"/>
        </w:rPr>
        <w:t>given</w:t>
      </w:r>
      <w:r w:rsidR="008A5E5C" w:rsidRPr="00BE10AE">
        <w:rPr>
          <w:rFonts w:ascii="Garamond" w:hAnsi="Garamond"/>
          <w:sz w:val="26"/>
          <w:szCs w:val="26"/>
        </w:rPr>
        <w:t xml:space="preserve"> the facts</w:t>
      </w:r>
      <w:r w:rsidR="00510D6F" w:rsidRPr="00BE10AE">
        <w:rPr>
          <w:rFonts w:ascii="Garamond" w:hAnsi="Garamond"/>
          <w:sz w:val="26"/>
          <w:szCs w:val="26"/>
        </w:rPr>
        <w:t xml:space="preserve"> and exposure</w:t>
      </w:r>
      <w:r w:rsidR="00316DE8" w:rsidRPr="00BE10AE">
        <w:rPr>
          <w:rFonts w:ascii="Garamond" w:hAnsi="Garamond"/>
          <w:sz w:val="26"/>
          <w:szCs w:val="26"/>
        </w:rPr>
        <w:t>)</w:t>
      </w:r>
      <w:r w:rsidR="008A5E5C" w:rsidRPr="00BE10AE">
        <w:rPr>
          <w:rFonts w:ascii="Garamond" w:hAnsi="Garamond"/>
          <w:sz w:val="26"/>
          <w:szCs w:val="26"/>
        </w:rPr>
        <w:t xml:space="preserve">. But </w:t>
      </w:r>
      <w:r w:rsidR="00531805" w:rsidRPr="00BE10AE">
        <w:rPr>
          <w:rFonts w:ascii="Garamond" w:hAnsi="Garamond"/>
          <w:sz w:val="26"/>
          <w:szCs w:val="26"/>
        </w:rPr>
        <w:t>your</w:t>
      </w:r>
      <w:r w:rsidR="008A5E5C" w:rsidRPr="00BE10AE">
        <w:rPr>
          <w:rFonts w:ascii="Garamond" w:hAnsi="Garamond"/>
          <w:sz w:val="26"/>
          <w:szCs w:val="26"/>
        </w:rPr>
        <w:t xml:space="preserve"> </w:t>
      </w:r>
      <w:r w:rsidR="00600735" w:rsidRPr="00BE10AE">
        <w:rPr>
          <w:rFonts w:ascii="Garamond" w:hAnsi="Garamond"/>
          <w:sz w:val="26"/>
          <w:szCs w:val="26"/>
        </w:rPr>
        <w:t xml:space="preserve">client </w:t>
      </w:r>
      <w:r w:rsidR="00AB48D5" w:rsidRPr="00BE10AE">
        <w:rPr>
          <w:rFonts w:ascii="Garamond" w:hAnsi="Garamond"/>
          <w:sz w:val="26"/>
          <w:szCs w:val="26"/>
        </w:rPr>
        <w:t>said</w:t>
      </w:r>
      <w:r w:rsidR="00600735" w:rsidRPr="00BE10AE">
        <w:rPr>
          <w:rFonts w:ascii="Garamond" w:hAnsi="Garamond"/>
          <w:sz w:val="26"/>
          <w:szCs w:val="26"/>
        </w:rPr>
        <w:t xml:space="preserve"> he</w:t>
      </w:r>
      <w:r w:rsidR="00AB48D5" w:rsidRPr="00BE10AE">
        <w:rPr>
          <w:rFonts w:ascii="Garamond" w:hAnsi="Garamond"/>
          <w:sz w:val="26"/>
          <w:szCs w:val="26"/>
        </w:rPr>
        <w:t xml:space="preserve"> wa</w:t>
      </w:r>
      <w:r w:rsidR="00510D6F" w:rsidRPr="00BE10AE">
        <w:rPr>
          <w:rFonts w:ascii="Garamond" w:hAnsi="Garamond"/>
          <w:sz w:val="26"/>
          <w:szCs w:val="26"/>
        </w:rPr>
        <w:t xml:space="preserve">s </w:t>
      </w:r>
      <w:r w:rsidR="00600735" w:rsidRPr="00BE10AE">
        <w:rPr>
          <w:rFonts w:ascii="Garamond" w:hAnsi="Garamond"/>
          <w:sz w:val="26"/>
          <w:szCs w:val="26"/>
        </w:rPr>
        <w:t>innocent</w:t>
      </w:r>
      <w:r w:rsidR="00531805" w:rsidRPr="00BE10AE">
        <w:rPr>
          <w:rFonts w:ascii="Garamond" w:hAnsi="Garamond"/>
          <w:sz w:val="26"/>
          <w:szCs w:val="26"/>
        </w:rPr>
        <w:t xml:space="preserve">, and he </w:t>
      </w:r>
      <w:r w:rsidR="00AB48D5" w:rsidRPr="00BE10AE">
        <w:rPr>
          <w:rFonts w:ascii="Garamond" w:hAnsi="Garamond"/>
          <w:sz w:val="26"/>
          <w:szCs w:val="26"/>
        </w:rPr>
        <w:t>didn’t</w:t>
      </w:r>
      <w:r w:rsidR="00531805" w:rsidRPr="00BE10AE">
        <w:rPr>
          <w:rFonts w:ascii="Garamond" w:hAnsi="Garamond"/>
          <w:sz w:val="26"/>
          <w:szCs w:val="26"/>
        </w:rPr>
        <w:t xml:space="preserve"> want </w:t>
      </w:r>
      <w:r w:rsidR="00A17069" w:rsidRPr="00BE10AE">
        <w:rPr>
          <w:rFonts w:ascii="Garamond" w:hAnsi="Garamond"/>
          <w:sz w:val="26"/>
          <w:szCs w:val="26"/>
        </w:rPr>
        <w:t>to plead</w:t>
      </w:r>
      <w:r w:rsidR="00600735" w:rsidRPr="00BE10AE">
        <w:rPr>
          <w:rFonts w:ascii="Garamond" w:hAnsi="Garamond"/>
          <w:sz w:val="26"/>
          <w:szCs w:val="26"/>
        </w:rPr>
        <w:t xml:space="preserve">. </w:t>
      </w:r>
      <w:r w:rsidR="002C0E74" w:rsidRPr="00BE10AE">
        <w:rPr>
          <w:rFonts w:ascii="Garamond" w:hAnsi="Garamond"/>
          <w:sz w:val="26"/>
          <w:szCs w:val="26"/>
        </w:rPr>
        <w:t>On the record, t</w:t>
      </w:r>
      <w:r w:rsidR="00183812" w:rsidRPr="00BE10AE">
        <w:rPr>
          <w:rFonts w:ascii="Garamond" w:hAnsi="Garamond"/>
          <w:sz w:val="26"/>
          <w:szCs w:val="26"/>
        </w:rPr>
        <w:t>he</w:t>
      </w:r>
      <w:r w:rsidR="00032B91" w:rsidRPr="00BE10AE">
        <w:rPr>
          <w:rFonts w:ascii="Garamond" w:hAnsi="Garamond"/>
          <w:sz w:val="26"/>
          <w:szCs w:val="26"/>
        </w:rPr>
        <w:t xml:space="preserve"> prosecutor </w:t>
      </w:r>
      <w:r w:rsidR="00AB48D5" w:rsidRPr="00BE10AE">
        <w:rPr>
          <w:rFonts w:ascii="Garamond" w:hAnsi="Garamond"/>
          <w:sz w:val="26"/>
          <w:szCs w:val="26"/>
        </w:rPr>
        <w:t>told</w:t>
      </w:r>
      <w:r w:rsidR="00073B6F" w:rsidRPr="00BE10AE">
        <w:rPr>
          <w:rFonts w:ascii="Garamond" w:hAnsi="Garamond"/>
          <w:sz w:val="26"/>
          <w:szCs w:val="26"/>
        </w:rPr>
        <w:t xml:space="preserve"> the judge your guy </w:t>
      </w:r>
      <w:r w:rsidR="00AB48D5" w:rsidRPr="00BE10AE">
        <w:rPr>
          <w:rFonts w:ascii="Garamond" w:hAnsi="Garamond"/>
          <w:sz w:val="26"/>
          <w:szCs w:val="26"/>
        </w:rPr>
        <w:t>wouldn’t</w:t>
      </w:r>
      <w:r w:rsidR="00073B6F" w:rsidRPr="00BE10AE">
        <w:rPr>
          <w:rFonts w:ascii="Garamond" w:hAnsi="Garamond"/>
          <w:sz w:val="26"/>
          <w:szCs w:val="26"/>
        </w:rPr>
        <w:t xml:space="preserve"> </w:t>
      </w:r>
      <w:r w:rsidR="00A17069" w:rsidRPr="00BE10AE">
        <w:rPr>
          <w:rFonts w:ascii="Garamond" w:hAnsi="Garamond"/>
          <w:sz w:val="26"/>
          <w:szCs w:val="26"/>
        </w:rPr>
        <w:t>take the deal</w:t>
      </w:r>
      <w:r w:rsidR="00183812" w:rsidRPr="00BE10AE">
        <w:rPr>
          <w:rFonts w:ascii="Garamond" w:hAnsi="Garamond"/>
          <w:sz w:val="26"/>
          <w:szCs w:val="26"/>
        </w:rPr>
        <w:t xml:space="preserve">, and </w:t>
      </w:r>
      <w:r w:rsidR="00BD6A02" w:rsidRPr="00BE10AE">
        <w:rPr>
          <w:rFonts w:ascii="Garamond" w:hAnsi="Garamond"/>
          <w:sz w:val="26"/>
          <w:szCs w:val="26"/>
        </w:rPr>
        <w:t xml:space="preserve">the judge </w:t>
      </w:r>
      <w:r w:rsidR="00AB48D5" w:rsidRPr="00BE10AE">
        <w:rPr>
          <w:rFonts w:ascii="Garamond" w:hAnsi="Garamond"/>
          <w:sz w:val="26"/>
          <w:szCs w:val="26"/>
        </w:rPr>
        <w:t>said</w:t>
      </w:r>
      <w:r w:rsidR="00BD6A02" w:rsidRPr="00BE10AE">
        <w:rPr>
          <w:rFonts w:ascii="Garamond" w:hAnsi="Garamond"/>
          <w:sz w:val="26"/>
          <w:szCs w:val="26"/>
        </w:rPr>
        <w:t xml:space="preserve">, </w:t>
      </w:r>
      <w:r w:rsidR="00345E47" w:rsidRPr="00BE10AE">
        <w:rPr>
          <w:rFonts w:ascii="Garamond" w:hAnsi="Garamond"/>
          <w:sz w:val="26"/>
          <w:szCs w:val="26"/>
        </w:rPr>
        <w:t>“</w:t>
      </w:r>
      <w:r w:rsidR="000A6183" w:rsidRPr="00BE10AE">
        <w:rPr>
          <w:rFonts w:ascii="Garamond" w:hAnsi="Garamond"/>
          <w:sz w:val="26"/>
          <w:szCs w:val="26"/>
        </w:rPr>
        <w:t>That</w:t>
      </w:r>
      <w:r w:rsidR="00345E47" w:rsidRPr="00BE10AE">
        <w:rPr>
          <w:rFonts w:ascii="Garamond" w:hAnsi="Garamond"/>
          <w:sz w:val="26"/>
          <w:szCs w:val="26"/>
        </w:rPr>
        <w:t>’</w:t>
      </w:r>
      <w:r w:rsidR="000A6183" w:rsidRPr="00BE10AE">
        <w:rPr>
          <w:rFonts w:ascii="Garamond" w:hAnsi="Garamond"/>
          <w:sz w:val="26"/>
          <w:szCs w:val="26"/>
        </w:rPr>
        <w:t>s fine. Though, you know, I had another case like this where the defendant turned down eight years and after trial was sentenced to 25 to life.</w:t>
      </w:r>
      <w:r w:rsidR="00345E47" w:rsidRPr="00BE10AE">
        <w:rPr>
          <w:rFonts w:ascii="Garamond" w:hAnsi="Garamond"/>
          <w:sz w:val="26"/>
          <w:szCs w:val="26"/>
        </w:rPr>
        <w:t>”</w:t>
      </w:r>
      <w:r w:rsidR="000A6183" w:rsidRPr="00BE10AE">
        <w:rPr>
          <w:rFonts w:ascii="Garamond" w:hAnsi="Garamond"/>
          <w:sz w:val="26"/>
          <w:szCs w:val="26"/>
        </w:rPr>
        <w:t xml:space="preserve"> </w:t>
      </w:r>
      <w:r w:rsidR="00E76BE7" w:rsidRPr="00BE10AE">
        <w:rPr>
          <w:rFonts w:ascii="Garamond" w:hAnsi="Garamond"/>
          <w:sz w:val="26"/>
          <w:szCs w:val="26"/>
        </w:rPr>
        <w:t xml:space="preserve">The judge </w:t>
      </w:r>
      <w:r w:rsidR="00437127" w:rsidRPr="00BE10AE">
        <w:rPr>
          <w:rFonts w:ascii="Garamond" w:hAnsi="Garamond"/>
          <w:sz w:val="26"/>
          <w:szCs w:val="26"/>
        </w:rPr>
        <w:t>note</w:t>
      </w:r>
      <w:r w:rsidR="00AB48D5" w:rsidRPr="00BE10AE">
        <w:rPr>
          <w:rFonts w:ascii="Garamond" w:hAnsi="Garamond"/>
          <w:sz w:val="26"/>
          <w:szCs w:val="26"/>
        </w:rPr>
        <w:t>d</w:t>
      </w:r>
      <w:r w:rsidR="00E76BE7" w:rsidRPr="00BE10AE">
        <w:rPr>
          <w:rFonts w:ascii="Garamond" w:hAnsi="Garamond"/>
          <w:sz w:val="26"/>
          <w:szCs w:val="26"/>
        </w:rPr>
        <w:t xml:space="preserve"> your client</w:t>
      </w:r>
      <w:r w:rsidR="00345E47" w:rsidRPr="00BE10AE">
        <w:rPr>
          <w:rFonts w:ascii="Garamond" w:hAnsi="Garamond"/>
          <w:sz w:val="26"/>
          <w:szCs w:val="26"/>
        </w:rPr>
        <w:t>’</w:t>
      </w:r>
      <w:r w:rsidR="00E76BE7" w:rsidRPr="00BE10AE">
        <w:rPr>
          <w:rFonts w:ascii="Garamond" w:hAnsi="Garamond"/>
          <w:sz w:val="26"/>
          <w:szCs w:val="26"/>
        </w:rPr>
        <w:t>s exposure after trial</w:t>
      </w:r>
      <w:r w:rsidR="00437127" w:rsidRPr="00BE10AE">
        <w:rPr>
          <w:rFonts w:ascii="Garamond" w:hAnsi="Garamond"/>
          <w:sz w:val="26"/>
          <w:szCs w:val="26"/>
        </w:rPr>
        <w:t xml:space="preserve"> (which </w:t>
      </w:r>
      <w:r w:rsidR="00AB48D5" w:rsidRPr="00BE10AE">
        <w:rPr>
          <w:rFonts w:ascii="Garamond" w:hAnsi="Garamond"/>
          <w:sz w:val="26"/>
          <w:szCs w:val="26"/>
        </w:rPr>
        <w:t>was</w:t>
      </w:r>
      <w:r w:rsidR="00437127" w:rsidRPr="00BE10AE">
        <w:rPr>
          <w:rFonts w:ascii="Garamond" w:hAnsi="Garamond"/>
          <w:sz w:val="26"/>
          <w:szCs w:val="26"/>
        </w:rPr>
        <w:t xml:space="preserve"> somewhere in the neighborhood of a million years to life). He c</w:t>
      </w:r>
      <w:r w:rsidR="00151C5E" w:rsidRPr="00BE10AE">
        <w:rPr>
          <w:rFonts w:ascii="Garamond" w:hAnsi="Garamond"/>
          <w:sz w:val="26"/>
          <w:szCs w:val="26"/>
        </w:rPr>
        <w:t>all</w:t>
      </w:r>
      <w:r w:rsidR="00AB48D5" w:rsidRPr="00BE10AE">
        <w:rPr>
          <w:rFonts w:ascii="Garamond" w:hAnsi="Garamond"/>
          <w:sz w:val="26"/>
          <w:szCs w:val="26"/>
        </w:rPr>
        <w:t xml:space="preserve">ed </w:t>
      </w:r>
      <w:r w:rsidR="00437127" w:rsidRPr="00BE10AE">
        <w:rPr>
          <w:rFonts w:ascii="Garamond" w:hAnsi="Garamond"/>
          <w:sz w:val="26"/>
          <w:szCs w:val="26"/>
        </w:rPr>
        <w:t>your client</w:t>
      </w:r>
      <w:r w:rsidR="00345E47" w:rsidRPr="00BE10AE">
        <w:rPr>
          <w:rFonts w:ascii="Garamond" w:hAnsi="Garamond"/>
          <w:sz w:val="26"/>
          <w:szCs w:val="26"/>
        </w:rPr>
        <w:t>’</w:t>
      </w:r>
      <w:r w:rsidR="00437127" w:rsidRPr="00BE10AE">
        <w:rPr>
          <w:rFonts w:ascii="Garamond" w:hAnsi="Garamond"/>
          <w:sz w:val="26"/>
          <w:szCs w:val="26"/>
        </w:rPr>
        <w:t>s</w:t>
      </w:r>
      <w:r w:rsidR="00032B91" w:rsidRPr="00BE10AE">
        <w:rPr>
          <w:rFonts w:ascii="Garamond" w:hAnsi="Garamond"/>
          <w:sz w:val="26"/>
          <w:szCs w:val="26"/>
        </w:rPr>
        <w:t xml:space="preserve"> alleged act</w:t>
      </w:r>
      <w:r w:rsidR="00437127" w:rsidRPr="00BE10AE">
        <w:rPr>
          <w:rFonts w:ascii="Garamond" w:hAnsi="Garamond"/>
          <w:sz w:val="26"/>
          <w:szCs w:val="26"/>
        </w:rPr>
        <w:t xml:space="preserve">ions </w:t>
      </w:r>
      <w:r w:rsidR="00032B91" w:rsidRPr="00BE10AE">
        <w:rPr>
          <w:rFonts w:ascii="Garamond" w:hAnsi="Garamond"/>
          <w:sz w:val="26"/>
          <w:szCs w:val="26"/>
        </w:rPr>
        <w:t>predatory</w:t>
      </w:r>
      <w:r w:rsidR="00AA2315" w:rsidRPr="00BE10AE">
        <w:rPr>
          <w:rFonts w:ascii="Garamond" w:hAnsi="Garamond"/>
          <w:sz w:val="26"/>
          <w:szCs w:val="26"/>
        </w:rPr>
        <w:t xml:space="preserve">, and he said </w:t>
      </w:r>
      <w:r w:rsidR="00437127" w:rsidRPr="00BE10AE">
        <w:rPr>
          <w:rFonts w:ascii="Garamond" w:hAnsi="Garamond"/>
          <w:sz w:val="26"/>
          <w:szCs w:val="26"/>
        </w:rPr>
        <w:t>that</w:t>
      </w:r>
      <w:r w:rsidR="00151C5E" w:rsidRPr="00BE10AE">
        <w:rPr>
          <w:rFonts w:ascii="Garamond" w:hAnsi="Garamond"/>
          <w:sz w:val="26"/>
          <w:szCs w:val="26"/>
        </w:rPr>
        <w:t xml:space="preserve"> he </w:t>
      </w:r>
      <w:r w:rsidR="00AA2315" w:rsidRPr="00BE10AE">
        <w:rPr>
          <w:rFonts w:ascii="Garamond" w:hAnsi="Garamond"/>
          <w:sz w:val="26"/>
          <w:szCs w:val="26"/>
        </w:rPr>
        <w:t>was</w:t>
      </w:r>
      <w:r w:rsidR="00151C5E" w:rsidRPr="00BE10AE">
        <w:rPr>
          <w:rFonts w:ascii="Garamond" w:hAnsi="Garamond"/>
          <w:sz w:val="26"/>
          <w:szCs w:val="26"/>
        </w:rPr>
        <w:t xml:space="preserve"> worried about</w:t>
      </w:r>
      <w:r w:rsidR="00032B91" w:rsidRPr="00BE10AE">
        <w:rPr>
          <w:rFonts w:ascii="Garamond" w:hAnsi="Garamond"/>
          <w:sz w:val="26"/>
          <w:szCs w:val="26"/>
        </w:rPr>
        <w:t xml:space="preserve"> the young witnesses </w:t>
      </w:r>
      <w:r w:rsidR="00151C5E" w:rsidRPr="00BE10AE">
        <w:rPr>
          <w:rFonts w:ascii="Garamond" w:hAnsi="Garamond"/>
          <w:sz w:val="26"/>
          <w:szCs w:val="26"/>
        </w:rPr>
        <w:t>who would have</w:t>
      </w:r>
      <w:r w:rsidR="00032B91" w:rsidRPr="00BE10AE">
        <w:rPr>
          <w:rFonts w:ascii="Garamond" w:hAnsi="Garamond"/>
          <w:sz w:val="26"/>
          <w:szCs w:val="26"/>
        </w:rPr>
        <w:t xml:space="preserve"> to testify</w:t>
      </w:r>
      <w:r w:rsidR="00151C5E" w:rsidRPr="00BE10AE">
        <w:rPr>
          <w:rFonts w:ascii="Garamond" w:hAnsi="Garamond"/>
          <w:sz w:val="26"/>
          <w:szCs w:val="26"/>
        </w:rPr>
        <w:t xml:space="preserve"> at trial</w:t>
      </w:r>
      <w:r w:rsidR="00032B91" w:rsidRPr="00BE10AE">
        <w:rPr>
          <w:rFonts w:ascii="Garamond" w:hAnsi="Garamond"/>
          <w:sz w:val="26"/>
          <w:szCs w:val="26"/>
        </w:rPr>
        <w:t>.</w:t>
      </w:r>
      <w:r w:rsidR="005D677B" w:rsidRPr="00BE10AE">
        <w:rPr>
          <w:rFonts w:ascii="Garamond" w:hAnsi="Garamond"/>
          <w:sz w:val="26"/>
          <w:szCs w:val="26"/>
        </w:rPr>
        <w:t xml:space="preserve"> </w:t>
      </w:r>
    </w:p>
    <w:p w14:paraId="4EDB219D" w14:textId="3B3BFDCA" w:rsidR="00A92E3A" w:rsidRPr="00BE10AE" w:rsidRDefault="00AA2315" w:rsidP="00BB5431">
      <w:pPr>
        <w:spacing w:line="360" w:lineRule="auto"/>
        <w:ind w:firstLine="360"/>
        <w:contextualSpacing/>
        <w:rPr>
          <w:rFonts w:ascii="Garamond" w:hAnsi="Garamond"/>
          <w:sz w:val="26"/>
          <w:szCs w:val="26"/>
        </w:rPr>
      </w:pPr>
      <w:r w:rsidRPr="00BE10AE">
        <w:rPr>
          <w:rFonts w:ascii="Garamond" w:hAnsi="Garamond"/>
          <w:sz w:val="26"/>
          <w:szCs w:val="26"/>
        </w:rPr>
        <w:t>That said,</w:t>
      </w:r>
      <w:r w:rsidR="00C600ED" w:rsidRPr="00BE10AE">
        <w:rPr>
          <w:rFonts w:ascii="Garamond" w:hAnsi="Garamond"/>
          <w:sz w:val="26"/>
          <w:szCs w:val="26"/>
        </w:rPr>
        <w:t xml:space="preserve"> the judge also work</w:t>
      </w:r>
      <w:r w:rsidRPr="00BE10AE">
        <w:rPr>
          <w:rFonts w:ascii="Garamond" w:hAnsi="Garamond"/>
          <w:sz w:val="26"/>
          <w:szCs w:val="26"/>
        </w:rPr>
        <w:t>ed</w:t>
      </w:r>
      <w:r w:rsidR="00BB5431" w:rsidRPr="00BE10AE">
        <w:rPr>
          <w:rFonts w:ascii="Garamond" w:hAnsi="Garamond"/>
          <w:sz w:val="26"/>
          <w:szCs w:val="26"/>
        </w:rPr>
        <w:t xml:space="preserve"> the prosecutor. A</w:t>
      </w:r>
      <w:r w:rsidR="004F46B3" w:rsidRPr="00BE10AE">
        <w:rPr>
          <w:rFonts w:ascii="Garamond" w:hAnsi="Garamond"/>
          <w:sz w:val="26"/>
          <w:szCs w:val="26"/>
        </w:rPr>
        <w:t xml:space="preserve">fter hearing that </w:t>
      </w:r>
      <w:r w:rsidR="00C600ED" w:rsidRPr="00BE10AE">
        <w:rPr>
          <w:rFonts w:ascii="Garamond" w:hAnsi="Garamond"/>
          <w:sz w:val="26"/>
          <w:szCs w:val="26"/>
        </w:rPr>
        <w:t xml:space="preserve">the cops </w:t>
      </w:r>
      <w:r w:rsidR="00BE753D" w:rsidRPr="00BE10AE">
        <w:rPr>
          <w:rFonts w:ascii="Garamond" w:hAnsi="Garamond"/>
          <w:sz w:val="26"/>
          <w:szCs w:val="26"/>
        </w:rPr>
        <w:t xml:space="preserve">had </w:t>
      </w:r>
      <w:r w:rsidR="00C600ED" w:rsidRPr="00BE10AE">
        <w:rPr>
          <w:rFonts w:ascii="Garamond" w:hAnsi="Garamond"/>
          <w:sz w:val="26"/>
          <w:szCs w:val="26"/>
        </w:rPr>
        <w:t>found</w:t>
      </w:r>
      <w:r w:rsidR="005D677B" w:rsidRPr="00BE10AE">
        <w:rPr>
          <w:rFonts w:ascii="Garamond" w:hAnsi="Garamond"/>
          <w:sz w:val="26"/>
          <w:szCs w:val="26"/>
        </w:rPr>
        <w:t xml:space="preserve"> child </w:t>
      </w:r>
      <w:r w:rsidR="00032B91" w:rsidRPr="00BE10AE">
        <w:rPr>
          <w:rFonts w:ascii="Garamond" w:hAnsi="Garamond"/>
          <w:sz w:val="26"/>
          <w:szCs w:val="26"/>
        </w:rPr>
        <w:t xml:space="preserve">pornography on </w:t>
      </w:r>
      <w:r w:rsidR="005D677B" w:rsidRPr="00BE10AE">
        <w:rPr>
          <w:rFonts w:ascii="Garamond" w:hAnsi="Garamond"/>
          <w:sz w:val="26"/>
          <w:szCs w:val="26"/>
        </w:rPr>
        <w:t>your client</w:t>
      </w:r>
      <w:r w:rsidR="00345E47" w:rsidRPr="00BE10AE">
        <w:rPr>
          <w:rFonts w:ascii="Garamond" w:hAnsi="Garamond"/>
          <w:sz w:val="26"/>
          <w:szCs w:val="26"/>
        </w:rPr>
        <w:t>’</w:t>
      </w:r>
      <w:r w:rsidR="005D677B" w:rsidRPr="00BE10AE">
        <w:rPr>
          <w:rFonts w:ascii="Garamond" w:hAnsi="Garamond"/>
          <w:sz w:val="26"/>
          <w:szCs w:val="26"/>
        </w:rPr>
        <w:t>s</w:t>
      </w:r>
      <w:r w:rsidR="00032B91" w:rsidRPr="00BE10AE">
        <w:rPr>
          <w:rFonts w:ascii="Garamond" w:hAnsi="Garamond"/>
          <w:sz w:val="26"/>
          <w:szCs w:val="26"/>
        </w:rPr>
        <w:t xml:space="preserve"> computer</w:t>
      </w:r>
      <w:r w:rsidR="004F46B3" w:rsidRPr="00BE10AE">
        <w:rPr>
          <w:rFonts w:ascii="Garamond" w:hAnsi="Garamond"/>
          <w:sz w:val="26"/>
          <w:szCs w:val="26"/>
        </w:rPr>
        <w:t>, t</w:t>
      </w:r>
      <w:r w:rsidR="00B11550" w:rsidRPr="00BE10AE">
        <w:rPr>
          <w:rFonts w:ascii="Garamond" w:hAnsi="Garamond"/>
          <w:sz w:val="26"/>
          <w:szCs w:val="26"/>
        </w:rPr>
        <w:t xml:space="preserve">he judge </w:t>
      </w:r>
      <w:r w:rsidRPr="00BE10AE">
        <w:rPr>
          <w:rFonts w:ascii="Garamond" w:hAnsi="Garamond"/>
          <w:sz w:val="26"/>
          <w:szCs w:val="26"/>
        </w:rPr>
        <w:t>said</w:t>
      </w:r>
      <w:r w:rsidR="00B11550" w:rsidRPr="00BE10AE">
        <w:rPr>
          <w:rFonts w:ascii="Garamond" w:hAnsi="Garamond"/>
          <w:sz w:val="26"/>
          <w:szCs w:val="26"/>
        </w:rPr>
        <w:t xml:space="preserve"> that it looked like your client </w:t>
      </w:r>
      <w:r w:rsidRPr="00BE10AE">
        <w:rPr>
          <w:rFonts w:ascii="Garamond" w:hAnsi="Garamond"/>
          <w:sz w:val="26"/>
          <w:szCs w:val="26"/>
        </w:rPr>
        <w:t>was</w:t>
      </w:r>
      <w:r w:rsidR="00B11550" w:rsidRPr="00BE10AE">
        <w:rPr>
          <w:rFonts w:ascii="Garamond" w:hAnsi="Garamond"/>
          <w:sz w:val="26"/>
          <w:szCs w:val="26"/>
        </w:rPr>
        <w:t xml:space="preserve"> a pedophile</w:t>
      </w:r>
      <w:r w:rsidR="00C600ED" w:rsidRPr="00BE10AE">
        <w:rPr>
          <w:rFonts w:ascii="Garamond" w:hAnsi="Garamond"/>
          <w:sz w:val="26"/>
          <w:szCs w:val="26"/>
        </w:rPr>
        <w:t xml:space="preserve">, and </w:t>
      </w:r>
      <w:r w:rsidR="007B2667" w:rsidRPr="00BE10AE">
        <w:rPr>
          <w:rFonts w:ascii="Garamond" w:hAnsi="Garamond"/>
          <w:sz w:val="26"/>
          <w:szCs w:val="26"/>
        </w:rPr>
        <w:t>the judge meant</w:t>
      </w:r>
      <w:r w:rsidR="00C600ED" w:rsidRPr="00BE10AE">
        <w:rPr>
          <w:rFonts w:ascii="Garamond" w:hAnsi="Garamond"/>
          <w:sz w:val="26"/>
          <w:szCs w:val="26"/>
        </w:rPr>
        <w:t xml:space="preserve"> this in a mitigating sort of way</w:t>
      </w:r>
      <w:r w:rsidR="00214BE8" w:rsidRPr="00BE10AE">
        <w:rPr>
          <w:rFonts w:ascii="Garamond" w:hAnsi="Garamond"/>
          <w:sz w:val="26"/>
          <w:szCs w:val="26"/>
        </w:rPr>
        <w:t xml:space="preserve"> (if you can imagine):</w:t>
      </w:r>
      <w:r w:rsidR="00FE44B1" w:rsidRPr="00BE10AE">
        <w:rPr>
          <w:rFonts w:ascii="Garamond" w:hAnsi="Garamond"/>
          <w:sz w:val="26"/>
          <w:szCs w:val="26"/>
        </w:rPr>
        <w:t xml:space="preserve"> as in</w:t>
      </w:r>
      <w:r w:rsidR="00214BE8" w:rsidRPr="00BE10AE">
        <w:rPr>
          <w:rFonts w:ascii="Garamond" w:hAnsi="Garamond"/>
          <w:sz w:val="26"/>
          <w:szCs w:val="26"/>
        </w:rPr>
        <w:t>,</w:t>
      </w:r>
      <w:r w:rsidR="00FE44B1" w:rsidRPr="00BE10AE">
        <w:rPr>
          <w:rFonts w:ascii="Garamond" w:hAnsi="Garamond"/>
          <w:sz w:val="26"/>
          <w:szCs w:val="26"/>
        </w:rPr>
        <w:t xml:space="preserve"> </w:t>
      </w:r>
      <w:r w:rsidR="00BB5B05" w:rsidRPr="00BE10AE">
        <w:rPr>
          <w:rFonts w:ascii="Garamond" w:hAnsi="Garamond"/>
          <w:sz w:val="26"/>
          <w:szCs w:val="26"/>
        </w:rPr>
        <w:t xml:space="preserve">your client </w:t>
      </w:r>
      <w:r w:rsidR="00FE44B1" w:rsidRPr="00BE10AE">
        <w:rPr>
          <w:rFonts w:ascii="Garamond" w:hAnsi="Garamond"/>
          <w:sz w:val="26"/>
          <w:szCs w:val="26"/>
        </w:rPr>
        <w:t xml:space="preserve">only did what he did because of a mental disorder. So, the judge </w:t>
      </w:r>
      <w:r w:rsidR="007B2667" w:rsidRPr="00BE10AE">
        <w:rPr>
          <w:rFonts w:ascii="Garamond" w:hAnsi="Garamond"/>
          <w:sz w:val="26"/>
          <w:szCs w:val="26"/>
        </w:rPr>
        <w:t>said</w:t>
      </w:r>
      <w:r w:rsidR="00FE44B1" w:rsidRPr="00BE10AE">
        <w:rPr>
          <w:rFonts w:ascii="Garamond" w:hAnsi="Garamond"/>
          <w:sz w:val="26"/>
          <w:szCs w:val="26"/>
        </w:rPr>
        <w:t>, maybe something le</w:t>
      </w:r>
      <w:r w:rsidR="007540D2" w:rsidRPr="00BE10AE">
        <w:rPr>
          <w:rFonts w:ascii="Garamond" w:hAnsi="Garamond"/>
          <w:sz w:val="26"/>
          <w:szCs w:val="26"/>
        </w:rPr>
        <w:t xml:space="preserve">ss than what the prosecutor </w:t>
      </w:r>
      <w:r w:rsidR="00FE44B1" w:rsidRPr="00BE10AE">
        <w:rPr>
          <w:rFonts w:ascii="Garamond" w:hAnsi="Garamond"/>
          <w:sz w:val="26"/>
          <w:szCs w:val="26"/>
        </w:rPr>
        <w:t>want</w:t>
      </w:r>
      <w:r w:rsidR="007B2667" w:rsidRPr="00BE10AE">
        <w:rPr>
          <w:rFonts w:ascii="Garamond" w:hAnsi="Garamond"/>
          <w:sz w:val="26"/>
          <w:szCs w:val="26"/>
        </w:rPr>
        <w:t>ed</w:t>
      </w:r>
      <w:r w:rsidR="00FE44B1" w:rsidRPr="00BE10AE">
        <w:rPr>
          <w:rFonts w:ascii="Garamond" w:hAnsi="Garamond"/>
          <w:sz w:val="26"/>
          <w:szCs w:val="26"/>
        </w:rPr>
        <w:t xml:space="preserve"> would</w:t>
      </w:r>
      <w:r w:rsidR="007540D2" w:rsidRPr="00BE10AE">
        <w:rPr>
          <w:rFonts w:ascii="Garamond" w:hAnsi="Garamond"/>
          <w:sz w:val="26"/>
          <w:szCs w:val="26"/>
        </w:rPr>
        <w:t xml:space="preserve"> be appropriate</w:t>
      </w:r>
      <w:r w:rsidR="00CD5A12" w:rsidRPr="00BE10AE">
        <w:rPr>
          <w:rFonts w:ascii="Garamond" w:hAnsi="Garamond"/>
          <w:sz w:val="26"/>
          <w:szCs w:val="26"/>
        </w:rPr>
        <w:t>.</w:t>
      </w:r>
      <w:r w:rsidR="000114B4" w:rsidRPr="00BE10AE">
        <w:rPr>
          <w:rFonts w:ascii="Garamond" w:hAnsi="Garamond"/>
          <w:sz w:val="26"/>
          <w:szCs w:val="26"/>
        </w:rPr>
        <w:t xml:space="preserve"> </w:t>
      </w:r>
      <w:r w:rsidR="007A2E9E" w:rsidRPr="00BE10AE">
        <w:rPr>
          <w:rFonts w:ascii="Garamond" w:hAnsi="Garamond"/>
          <w:sz w:val="26"/>
          <w:szCs w:val="26"/>
        </w:rPr>
        <w:t>Still, the judge emphasize</w:t>
      </w:r>
      <w:r w:rsidR="007B2667" w:rsidRPr="00BE10AE">
        <w:rPr>
          <w:rFonts w:ascii="Garamond" w:hAnsi="Garamond"/>
          <w:sz w:val="26"/>
          <w:szCs w:val="26"/>
        </w:rPr>
        <w:t>d</w:t>
      </w:r>
      <w:r w:rsidR="007A2E9E" w:rsidRPr="00BE10AE">
        <w:rPr>
          <w:rFonts w:ascii="Garamond" w:hAnsi="Garamond"/>
          <w:sz w:val="26"/>
          <w:szCs w:val="26"/>
        </w:rPr>
        <w:t xml:space="preserve">, either way, the trial </w:t>
      </w:r>
      <w:r w:rsidR="007B2667" w:rsidRPr="00BE10AE">
        <w:rPr>
          <w:rFonts w:ascii="Garamond" w:hAnsi="Garamond"/>
          <w:sz w:val="26"/>
          <w:szCs w:val="26"/>
        </w:rPr>
        <w:t>wasn’t going to</w:t>
      </w:r>
      <w:r w:rsidR="007A2E9E" w:rsidRPr="00BE10AE">
        <w:rPr>
          <w:rFonts w:ascii="Garamond" w:hAnsi="Garamond"/>
          <w:sz w:val="26"/>
          <w:szCs w:val="26"/>
        </w:rPr>
        <w:t xml:space="preserve"> be pretty</w:t>
      </w:r>
      <w:r w:rsidR="007540D2" w:rsidRPr="00BE10AE">
        <w:rPr>
          <w:rFonts w:ascii="Garamond" w:hAnsi="Garamond"/>
          <w:sz w:val="26"/>
          <w:szCs w:val="26"/>
        </w:rPr>
        <w:t xml:space="preserve">: </w:t>
      </w:r>
      <w:r w:rsidR="00345E47" w:rsidRPr="00BE10AE">
        <w:rPr>
          <w:rFonts w:ascii="Garamond" w:hAnsi="Garamond"/>
          <w:sz w:val="26"/>
          <w:szCs w:val="26"/>
        </w:rPr>
        <w:t>“</w:t>
      </w:r>
      <w:r w:rsidR="00A92E3A" w:rsidRPr="00BE10AE">
        <w:rPr>
          <w:rFonts w:ascii="Garamond" w:hAnsi="Garamond"/>
          <w:sz w:val="26"/>
          <w:szCs w:val="26"/>
        </w:rPr>
        <w:t>As soon as the first little girl in the pink dress sits down, you know, then you</w:t>
      </w:r>
      <w:r w:rsidR="00345E47" w:rsidRPr="00BE10AE">
        <w:rPr>
          <w:rFonts w:ascii="Garamond" w:hAnsi="Garamond"/>
          <w:sz w:val="26"/>
          <w:szCs w:val="26"/>
        </w:rPr>
        <w:t>’</w:t>
      </w:r>
      <w:r w:rsidR="00A92E3A" w:rsidRPr="00BE10AE">
        <w:rPr>
          <w:rFonts w:ascii="Garamond" w:hAnsi="Garamond"/>
          <w:sz w:val="26"/>
          <w:szCs w:val="26"/>
        </w:rPr>
        <w:t>re going to see the real victim. You</w:t>
      </w:r>
      <w:r w:rsidR="00345E47" w:rsidRPr="00BE10AE">
        <w:rPr>
          <w:rFonts w:ascii="Garamond" w:hAnsi="Garamond"/>
          <w:sz w:val="26"/>
          <w:szCs w:val="26"/>
        </w:rPr>
        <w:t>’</w:t>
      </w:r>
      <w:r w:rsidR="00A92E3A" w:rsidRPr="00BE10AE">
        <w:rPr>
          <w:rFonts w:ascii="Garamond" w:hAnsi="Garamond"/>
          <w:sz w:val="26"/>
          <w:szCs w:val="26"/>
        </w:rPr>
        <w:t>ll see the real impact.</w:t>
      </w:r>
      <w:r w:rsidR="00345E47" w:rsidRPr="00BE10AE">
        <w:rPr>
          <w:rFonts w:ascii="Garamond" w:hAnsi="Garamond"/>
          <w:sz w:val="26"/>
          <w:szCs w:val="26"/>
        </w:rPr>
        <w:t>”</w:t>
      </w:r>
      <w:r w:rsidR="00A92E3A" w:rsidRPr="00BE10AE">
        <w:rPr>
          <w:rFonts w:ascii="Garamond" w:hAnsi="Garamond"/>
          <w:sz w:val="26"/>
          <w:szCs w:val="26"/>
        </w:rPr>
        <w:t xml:space="preserve"> </w:t>
      </w:r>
    </w:p>
    <w:p w14:paraId="707CDE5F" w14:textId="4D53AEC3" w:rsidR="00966221" w:rsidRPr="00BE10AE" w:rsidRDefault="00966221" w:rsidP="00BB5431">
      <w:pPr>
        <w:spacing w:line="360" w:lineRule="auto"/>
        <w:ind w:firstLine="360"/>
        <w:contextualSpacing/>
        <w:rPr>
          <w:rFonts w:ascii="Garamond" w:hAnsi="Garamond"/>
          <w:sz w:val="26"/>
          <w:szCs w:val="26"/>
        </w:rPr>
      </w:pPr>
      <w:r w:rsidRPr="00BE10AE">
        <w:rPr>
          <w:rFonts w:ascii="Garamond" w:hAnsi="Garamond"/>
          <w:sz w:val="26"/>
          <w:szCs w:val="26"/>
        </w:rPr>
        <w:t xml:space="preserve">At </w:t>
      </w:r>
      <w:r w:rsidR="00C05683" w:rsidRPr="00BE10AE">
        <w:rPr>
          <w:rFonts w:ascii="Garamond" w:hAnsi="Garamond"/>
          <w:sz w:val="26"/>
          <w:szCs w:val="26"/>
        </w:rPr>
        <w:t>a later</w:t>
      </w:r>
      <w:r w:rsidRPr="00BE10AE">
        <w:rPr>
          <w:rFonts w:ascii="Garamond" w:hAnsi="Garamond"/>
          <w:sz w:val="26"/>
          <w:szCs w:val="26"/>
        </w:rPr>
        <w:t xml:space="preserve"> hearing, </w:t>
      </w:r>
      <w:r w:rsidR="007A2E9E" w:rsidRPr="00BE10AE">
        <w:rPr>
          <w:rFonts w:ascii="Garamond" w:hAnsi="Garamond"/>
          <w:sz w:val="26"/>
          <w:szCs w:val="26"/>
        </w:rPr>
        <w:t xml:space="preserve">the judge </w:t>
      </w:r>
      <w:r w:rsidR="00014519" w:rsidRPr="00BE10AE">
        <w:rPr>
          <w:rFonts w:ascii="Garamond" w:hAnsi="Garamond"/>
          <w:sz w:val="26"/>
          <w:szCs w:val="26"/>
        </w:rPr>
        <w:t>said</w:t>
      </w:r>
      <w:r w:rsidR="007A2E9E" w:rsidRPr="00BE10AE">
        <w:rPr>
          <w:rFonts w:ascii="Garamond" w:hAnsi="Garamond"/>
          <w:sz w:val="26"/>
          <w:szCs w:val="26"/>
        </w:rPr>
        <w:t xml:space="preserve"> that he would hate to try this case</w:t>
      </w:r>
      <w:r w:rsidR="00615566" w:rsidRPr="00BE10AE">
        <w:rPr>
          <w:rFonts w:ascii="Garamond" w:hAnsi="Garamond"/>
          <w:sz w:val="26"/>
          <w:szCs w:val="26"/>
        </w:rPr>
        <w:t xml:space="preserve"> if he were </w:t>
      </w:r>
      <w:r w:rsidR="007A2E9E" w:rsidRPr="00BE10AE">
        <w:rPr>
          <w:rFonts w:ascii="Garamond" w:hAnsi="Garamond"/>
          <w:sz w:val="26"/>
          <w:szCs w:val="26"/>
        </w:rPr>
        <w:t>the</w:t>
      </w:r>
      <w:r w:rsidR="00615566" w:rsidRPr="00BE10AE">
        <w:rPr>
          <w:rFonts w:ascii="Garamond" w:hAnsi="Garamond"/>
          <w:sz w:val="26"/>
          <w:szCs w:val="26"/>
        </w:rPr>
        <w:t xml:space="preserve"> defense attorney, </w:t>
      </w:r>
      <w:r w:rsidR="007A2E9E" w:rsidRPr="00BE10AE">
        <w:rPr>
          <w:rFonts w:ascii="Garamond" w:hAnsi="Garamond"/>
          <w:sz w:val="26"/>
          <w:szCs w:val="26"/>
        </w:rPr>
        <w:t xml:space="preserve">but </w:t>
      </w:r>
      <w:r w:rsidR="00615566" w:rsidRPr="00BE10AE">
        <w:rPr>
          <w:rFonts w:ascii="Garamond" w:hAnsi="Garamond"/>
          <w:sz w:val="26"/>
          <w:szCs w:val="26"/>
        </w:rPr>
        <w:t>he would</w:t>
      </w:r>
      <w:r w:rsidR="007A2E9E" w:rsidRPr="00BE10AE">
        <w:rPr>
          <w:rFonts w:ascii="Garamond" w:hAnsi="Garamond"/>
          <w:sz w:val="26"/>
          <w:szCs w:val="26"/>
        </w:rPr>
        <w:t>n</w:t>
      </w:r>
      <w:r w:rsidR="00345E47" w:rsidRPr="00BE10AE">
        <w:rPr>
          <w:rFonts w:ascii="Garamond" w:hAnsi="Garamond"/>
          <w:sz w:val="26"/>
          <w:szCs w:val="26"/>
        </w:rPr>
        <w:t>’</w:t>
      </w:r>
      <w:r w:rsidR="007A2E9E" w:rsidRPr="00BE10AE">
        <w:rPr>
          <w:rFonts w:ascii="Garamond" w:hAnsi="Garamond"/>
          <w:sz w:val="26"/>
          <w:szCs w:val="26"/>
        </w:rPr>
        <w:t>t mind trying it as a prosecutor</w:t>
      </w:r>
      <w:r w:rsidR="00615566" w:rsidRPr="00BE10AE">
        <w:rPr>
          <w:rFonts w:ascii="Garamond" w:hAnsi="Garamond"/>
          <w:sz w:val="26"/>
          <w:szCs w:val="26"/>
        </w:rPr>
        <w:t xml:space="preserve">. </w:t>
      </w:r>
      <w:r w:rsidR="00837209" w:rsidRPr="00BE10AE">
        <w:rPr>
          <w:rFonts w:ascii="Garamond" w:hAnsi="Garamond"/>
          <w:sz w:val="26"/>
          <w:szCs w:val="26"/>
        </w:rPr>
        <w:t>That said,</w:t>
      </w:r>
      <w:r w:rsidR="0025337A" w:rsidRPr="00BE10AE">
        <w:rPr>
          <w:rFonts w:ascii="Garamond" w:hAnsi="Garamond"/>
          <w:sz w:val="26"/>
          <w:szCs w:val="26"/>
        </w:rPr>
        <w:t xml:space="preserve"> </w:t>
      </w:r>
      <w:r w:rsidR="00615566" w:rsidRPr="00BE10AE">
        <w:rPr>
          <w:rFonts w:ascii="Garamond" w:hAnsi="Garamond"/>
          <w:sz w:val="26"/>
          <w:szCs w:val="26"/>
        </w:rPr>
        <w:t xml:space="preserve">he </w:t>
      </w:r>
      <w:r w:rsidR="006972B8" w:rsidRPr="00BE10AE">
        <w:rPr>
          <w:rFonts w:ascii="Garamond" w:hAnsi="Garamond"/>
          <w:sz w:val="26"/>
          <w:szCs w:val="26"/>
        </w:rPr>
        <w:t>wouldn</w:t>
      </w:r>
      <w:r w:rsidR="00345E47" w:rsidRPr="00BE10AE">
        <w:rPr>
          <w:rFonts w:ascii="Garamond" w:hAnsi="Garamond"/>
          <w:sz w:val="26"/>
          <w:szCs w:val="26"/>
        </w:rPr>
        <w:t>’</w:t>
      </w:r>
      <w:r w:rsidR="006972B8" w:rsidRPr="00BE10AE">
        <w:rPr>
          <w:rFonts w:ascii="Garamond" w:hAnsi="Garamond"/>
          <w:sz w:val="26"/>
          <w:szCs w:val="26"/>
        </w:rPr>
        <w:t>t</w:t>
      </w:r>
      <w:r w:rsidR="00615566" w:rsidRPr="00BE10AE">
        <w:rPr>
          <w:rFonts w:ascii="Garamond" w:hAnsi="Garamond"/>
          <w:sz w:val="26"/>
          <w:szCs w:val="26"/>
        </w:rPr>
        <w:t xml:space="preserve"> want to put </w:t>
      </w:r>
      <w:r w:rsidR="00345E47" w:rsidRPr="00BE10AE">
        <w:rPr>
          <w:rFonts w:ascii="Garamond" w:hAnsi="Garamond"/>
          <w:sz w:val="26"/>
          <w:szCs w:val="26"/>
        </w:rPr>
        <w:t>“</w:t>
      </w:r>
      <w:r w:rsidR="00C05683" w:rsidRPr="00BE10AE">
        <w:rPr>
          <w:rFonts w:ascii="Garamond" w:hAnsi="Garamond"/>
          <w:sz w:val="26"/>
          <w:szCs w:val="26"/>
        </w:rPr>
        <w:t>these little girls through this stuff</w:t>
      </w:r>
      <w:r w:rsidR="00837209" w:rsidRPr="00BE10AE">
        <w:rPr>
          <w:rFonts w:ascii="Garamond" w:hAnsi="Garamond"/>
          <w:sz w:val="26"/>
          <w:szCs w:val="26"/>
        </w:rPr>
        <w:t>,</w:t>
      </w:r>
      <w:r w:rsidR="00345E47" w:rsidRPr="00BE10AE">
        <w:rPr>
          <w:rFonts w:ascii="Garamond" w:hAnsi="Garamond"/>
          <w:sz w:val="26"/>
          <w:szCs w:val="26"/>
        </w:rPr>
        <w:t>”</w:t>
      </w:r>
      <w:r w:rsidR="00C05683" w:rsidRPr="00BE10AE">
        <w:rPr>
          <w:rFonts w:ascii="Garamond" w:hAnsi="Garamond"/>
          <w:sz w:val="26"/>
          <w:szCs w:val="26"/>
        </w:rPr>
        <w:t xml:space="preserve"> </w:t>
      </w:r>
      <w:r w:rsidR="009346C7" w:rsidRPr="00BE10AE">
        <w:rPr>
          <w:rFonts w:ascii="Garamond" w:hAnsi="Garamond"/>
          <w:sz w:val="26"/>
          <w:szCs w:val="26"/>
        </w:rPr>
        <w:t>so he hope</w:t>
      </w:r>
      <w:r w:rsidR="00014519" w:rsidRPr="00BE10AE">
        <w:rPr>
          <w:rFonts w:ascii="Garamond" w:hAnsi="Garamond"/>
          <w:sz w:val="26"/>
          <w:szCs w:val="26"/>
        </w:rPr>
        <w:t>d</w:t>
      </w:r>
      <w:r w:rsidR="009346C7" w:rsidRPr="00BE10AE">
        <w:rPr>
          <w:rFonts w:ascii="Garamond" w:hAnsi="Garamond"/>
          <w:sz w:val="26"/>
          <w:szCs w:val="26"/>
        </w:rPr>
        <w:t xml:space="preserve"> everyone </w:t>
      </w:r>
      <w:r w:rsidR="00014519" w:rsidRPr="00BE10AE">
        <w:rPr>
          <w:rFonts w:ascii="Garamond" w:hAnsi="Garamond"/>
          <w:sz w:val="26"/>
          <w:szCs w:val="26"/>
        </w:rPr>
        <w:t>could</w:t>
      </w:r>
      <w:r w:rsidR="009346C7" w:rsidRPr="00BE10AE">
        <w:rPr>
          <w:rFonts w:ascii="Garamond" w:hAnsi="Garamond"/>
          <w:sz w:val="26"/>
          <w:szCs w:val="26"/>
        </w:rPr>
        <w:t xml:space="preserve"> </w:t>
      </w:r>
      <w:r w:rsidR="00345E47" w:rsidRPr="00BE10AE">
        <w:rPr>
          <w:rFonts w:ascii="Garamond" w:hAnsi="Garamond"/>
          <w:sz w:val="26"/>
          <w:szCs w:val="26"/>
        </w:rPr>
        <w:t>“</w:t>
      </w:r>
      <w:r w:rsidR="009346C7" w:rsidRPr="00BE10AE">
        <w:rPr>
          <w:rFonts w:ascii="Garamond" w:hAnsi="Garamond"/>
          <w:sz w:val="26"/>
          <w:szCs w:val="26"/>
        </w:rPr>
        <w:t xml:space="preserve">put </w:t>
      </w:r>
      <w:r w:rsidR="00C05683" w:rsidRPr="00BE10AE">
        <w:rPr>
          <w:rFonts w:ascii="Garamond" w:hAnsi="Garamond"/>
          <w:sz w:val="26"/>
          <w:szCs w:val="26"/>
        </w:rPr>
        <w:t>an end to this one if we can.</w:t>
      </w:r>
      <w:r w:rsidR="00345E47" w:rsidRPr="00BE10AE">
        <w:rPr>
          <w:rFonts w:ascii="Garamond" w:hAnsi="Garamond"/>
          <w:sz w:val="26"/>
          <w:szCs w:val="26"/>
        </w:rPr>
        <w:t>”</w:t>
      </w:r>
    </w:p>
    <w:p w14:paraId="36AED5E0" w14:textId="4A2D2AB9" w:rsidR="00ED1C5F" w:rsidRPr="00BE10AE" w:rsidRDefault="003567F8" w:rsidP="00420C0F">
      <w:pPr>
        <w:spacing w:line="360" w:lineRule="auto"/>
        <w:ind w:firstLine="360"/>
        <w:contextualSpacing/>
        <w:rPr>
          <w:rFonts w:ascii="Garamond" w:hAnsi="Garamond"/>
          <w:sz w:val="26"/>
          <w:szCs w:val="26"/>
        </w:rPr>
      </w:pPr>
      <w:r w:rsidRPr="00BE10AE">
        <w:rPr>
          <w:rFonts w:ascii="Garamond" w:hAnsi="Garamond"/>
          <w:sz w:val="26"/>
          <w:szCs w:val="26"/>
        </w:rPr>
        <w:t xml:space="preserve">As the case </w:t>
      </w:r>
      <w:r w:rsidR="00014519" w:rsidRPr="00BE10AE">
        <w:rPr>
          <w:rFonts w:ascii="Garamond" w:hAnsi="Garamond"/>
          <w:sz w:val="26"/>
          <w:szCs w:val="26"/>
        </w:rPr>
        <w:t>got</w:t>
      </w:r>
      <w:r w:rsidRPr="00BE10AE">
        <w:rPr>
          <w:rFonts w:ascii="Garamond" w:hAnsi="Garamond"/>
          <w:sz w:val="26"/>
          <w:szCs w:val="26"/>
        </w:rPr>
        <w:t xml:space="preserve"> closer to trial</w:t>
      </w:r>
      <w:r w:rsidR="00921249" w:rsidRPr="00BE10AE">
        <w:rPr>
          <w:rFonts w:ascii="Garamond" w:hAnsi="Garamond"/>
          <w:sz w:val="26"/>
          <w:szCs w:val="26"/>
        </w:rPr>
        <w:t xml:space="preserve">, the judge </w:t>
      </w:r>
      <w:r w:rsidR="00014519" w:rsidRPr="00BE10AE">
        <w:rPr>
          <w:rFonts w:ascii="Garamond" w:hAnsi="Garamond"/>
          <w:sz w:val="26"/>
          <w:szCs w:val="26"/>
        </w:rPr>
        <w:t>said</w:t>
      </w:r>
      <w:r w:rsidR="00921249" w:rsidRPr="00BE10AE">
        <w:rPr>
          <w:rFonts w:ascii="Garamond" w:hAnsi="Garamond"/>
          <w:sz w:val="26"/>
          <w:szCs w:val="26"/>
        </w:rPr>
        <w:t xml:space="preserve"> the images </w:t>
      </w:r>
      <w:r w:rsidRPr="00BE10AE">
        <w:rPr>
          <w:rFonts w:ascii="Garamond" w:hAnsi="Garamond"/>
          <w:sz w:val="26"/>
          <w:szCs w:val="26"/>
        </w:rPr>
        <w:t>found on your client</w:t>
      </w:r>
      <w:r w:rsidR="00345E47" w:rsidRPr="00BE10AE">
        <w:rPr>
          <w:rFonts w:ascii="Garamond" w:hAnsi="Garamond"/>
          <w:sz w:val="26"/>
          <w:szCs w:val="26"/>
        </w:rPr>
        <w:t>’</w:t>
      </w:r>
      <w:r w:rsidRPr="00BE10AE">
        <w:rPr>
          <w:rFonts w:ascii="Garamond" w:hAnsi="Garamond"/>
          <w:sz w:val="26"/>
          <w:szCs w:val="26"/>
        </w:rPr>
        <w:t xml:space="preserve">s computer </w:t>
      </w:r>
      <w:r w:rsidR="00014519" w:rsidRPr="00BE10AE">
        <w:rPr>
          <w:rFonts w:ascii="Garamond" w:hAnsi="Garamond"/>
          <w:sz w:val="26"/>
          <w:szCs w:val="26"/>
        </w:rPr>
        <w:t>were</w:t>
      </w:r>
      <w:r w:rsidR="00921249" w:rsidRPr="00BE10AE">
        <w:rPr>
          <w:rFonts w:ascii="Garamond" w:hAnsi="Garamond"/>
          <w:sz w:val="26"/>
          <w:szCs w:val="26"/>
        </w:rPr>
        <w:t xml:space="preserve"> </w:t>
      </w:r>
      <w:r w:rsidR="00345E47" w:rsidRPr="00BE10AE">
        <w:rPr>
          <w:rFonts w:ascii="Garamond" w:hAnsi="Garamond"/>
          <w:sz w:val="26"/>
          <w:szCs w:val="26"/>
        </w:rPr>
        <w:t>“</w:t>
      </w:r>
      <w:r w:rsidR="00921249" w:rsidRPr="00BE10AE">
        <w:rPr>
          <w:rFonts w:ascii="Garamond" w:hAnsi="Garamond"/>
          <w:sz w:val="26"/>
          <w:szCs w:val="26"/>
        </w:rPr>
        <w:t>lethal</w:t>
      </w:r>
      <w:r w:rsidR="00B6327B" w:rsidRPr="00BE10AE">
        <w:rPr>
          <w:rFonts w:ascii="Garamond" w:hAnsi="Garamond"/>
          <w:sz w:val="26"/>
          <w:szCs w:val="26"/>
        </w:rPr>
        <w:t>.</w:t>
      </w:r>
      <w:r w:rsidR="00345E47" w:rsidRPr="00BE10AE">
        <w:rPr>
          <w:rFonts w:ascii="Garamond" w:hAnsi="Garamond"/>
          <w:sz w:val="26"/>
          <w:szCs w:val="26"/>
        </w:rPr>
        <w:t>”</w:t>
      </w:r>
      <w:r w:rsidR="00B6327B" w:rsidRPr="00BE10AE">
        <w:rPr>
          <w:rFonts w:ascii="Garamond" w:hAnsi="Garamond"/>
          <w:sz w:val="26"/>
          <w:szCs w:val="26"/>
        </w:rPr>
        <w:t xml:space="preserve"> </w:t>
      </w:r>
      <w:r w:rsidRPr="00BE10AE">
        <w:rPr>
          <w:rFonts w:ascii="Garamond" w:hAnsi="Garamond"/>
          <w:sz w:val="26"/>
          <w:szCs w:val="26"/>
        </w:rPr>
        <w:t>Those images</w:t>
      </w:r>
      <w:r w:rsidR="00B6327B" w:rsidRPr="00BE10AE">
        <w:rPr>
          <w:rFonts w:ascii="Garamond" w:hAnsi="Garamond"/>
          <w:sz w:val="26"/>
          <w:szCs w:val="26"/>
        </w:rPr>
        <w:t xml:space="preserve">, </w:t>
      </w:r>
      <w:r w:rsidRPr="00BE10AE">
        <w:rPr>
          <w:rFonts w:ascii="Garamond" w:hAnsi="Garamond"/>
          <w:sz w:val="26"/>
          <w:szCs w:val="26"/>
        </w:rPr>
        <w:t xml:space="preserve">he </w:t>
      </w:r>
      <w:r w:rsidR="00014519" w:rsidRPr="00BE10AE">
        <w:rPr>
          <w:rFonts w:ascii="Garamond" w:hAnsi="Garamond"/>
          <w:sz w:val="26"/>
          <w:szCs w:val="26"/>
        </w:rPr>
        <w:t>said</w:t>
      </w:r>
      <w:r w:rsidRPr="00BE10AE">
        <w:rPr>
          <w:rFonts w:ascii="Garamond" w:hAnsi="Garamond"/>
          <w:sz w:val="26"/>
          <w:szCs w:val="26"/>
        </w:rPr>
        <w:t xml:space="preserve">, </w:t>
      </w:r>
      <w:r w:rsidR="00B6327B" w:rsidRPr="00BE10AE">
        <w:rPr>
          <w:rFonts w:ascii="Garamond" w:hAnsi="Garamond"/>
          <w:sz w:val="26"/>
          <w:szCs w:val="26"/>
        </w:rPr>
        <w:t>combined with your client</w:t>
      </w:r>
      <w:r w:rsidR="00345E47" w:rsidRPr="00BE10AE">
        <w:rPr>
          <w:rFonts w:ascii="Garamond" w:hAnsi="Garamond"/>
          <w:sz w:val="26"/>
          <w:szCs w:val="26"/>
        </w:rPr>
        <w:t>’</w:t>
      </w:r>
      <w:r w:rsidR="00B6327B" w:rsidRPr="00BE10AE">
        <w:rPr>
          <w:rFonts w:ascii="Garamond" w:hAnsi="Garamond"/>
          <w:sz w:val="26"/>
          <w:szCs w:val="26"/>
        </w:rPr>
        <w:t>s conduct, show</w:t>
      </w:r>
      <w:r w:rsidR="00F23EDB" w:rsidRPr="00BE10AE">
        <w:rPr>
          <w:rFonts w:ascii="Garamond" w:hAnsi="Garamond"/>
          <w:sz w:val="26"/>
          <w:szCs w:val="26"/>
        </w:rPr>
        <w:t xml:space="preserve">ed </w:t>
      </w:r>
      <w:r w:rsidR="00B6327B" w:rsidRPr="00BE10AE">
        <w:rPr>
          <w:rFonts w:ascii="Garamond" w:hAnsi="Garamond"/>
          <w:sz w:val="26"/>
          <w:szCs w:val="26"/>
        </w:rPr>
        <w:t xml:space="preserve">that </w:t>
      </w:r>
      <w:r w:rsidRPr="00BE10AE">
        <w:rPr>
          <w:rFonts w:ascii="Garamond" w:hAnsi="Garamond"/>
          <w:sz w:val="26"/>
          <w:szCs w:val="26"/>
        </w:rPr>
        <w:t xml:space="preserve">your </w:t>
      </w:r>
      <w:r w:rsidRPr="00BE10AE">
        <w:rPr>
          <w:rFonts w:ascii="Garamond" w:hAnsi="Garamond"/>
          <w:sz w:val="26"/>
          <w:szCs w:val="26"/>
        </w:rPr>
        <w:lastRenderedPageBreak/>
        <w:t xml:space="preserve">client </w:t>
      </w:r>
      <w:r w:rsidR="00F23EDB" w:rsidRPr="00BE10AE">
        <w:rPr>
          <w:rFonts w:ascii="Garamond" w:hAnsi="Garamond"/>
          <w:sz w:val="26"/>
          <w:szCs w:val="26"/>
        </w:rPr>
        <w:t>was</w:t>
      </w:r>
      <w:r w:rsidR="00B6327B" w:rsidRPr="00BE10AE">
        <w:rPr>
          <w:rFonts w:ascii="Garamond" w:hAnsi="Garamond"/>
          <w:sz w:val="26"/>
          <w:szCs w:val="26"/>
        </w:rPr>
        <w:t xml:space="preserve"> a pedophile</w:t>
      </w:r>
      <w:r w:rsidR="006F167D" w:rsidRPr="00BE10AE">
        <w:rPr>
          <w:rFonts w:ascii="Garamond" w:hAnsi="Garamond"/>
          <w:sz w:val="26"/>
          <w:szCs w:val="26"/>
        </w:rPr>
        <w:t xml:space="preserve">, and on the eve of trial, the judge </w:t>
      </w:r>
      <w:r w:rsidR="00F23EDB" w:rsidRPr="00BE10AE">
        <w:rPr>
          <w:rFonts w:ascii="Garamond" w:hAnsi="Garamond"/>
          <w:sz w:val="26"/>
          <w:szCs w:val="26"/>
        </w:rPr>
        <w:t>said</w:t>
      </w:r>
      <w:r w:rsidR="004356E9" w:rsidRPr="00BE10AE">
        <w:rPr>
          <w:rFonts w:ascii="Garamond" w:hAnsi="Garamond"/>
          <w:sz w:val="26"/>
          <w:szCs w:val="26"/>
        </w:rPr>
        <w:t xml:space="preserve"> to your client</w:t>
      </w:r>
      <w:r w:rsidR="00032B91" w:rsidRPr="00BE10AE">
        <w:rPr>
          <w:rFonts w:ascii="Garamond" w:hAnsi="Garamond"/>
          <w:sz w:val="26"/>
          <w:szCs w:val="26"/>
        </w:rPr>
        <w:t xml:space="preserve">, </w:t>
      </w:r>
      <w:r w:rsidR="00345E47" w:rsidRPr="00BE10AE">
        <w:rPr>
          <w:rFonts w:ascii="Garamond" w:hAnsi="Garamond"/>
          <w:sz w:val="26"/>
          <w:szCs w:val="26"/>
        </w:rPr>
        <w:t>“</w:t>
      </w:r>
      <w:r w:rsidR="00032B91" w:rsidRPr="00BE10AE">
        <w:rPr>
          <w:rFonts w:ascii="Garamond" w:hAnsi="Garamond"/>
          <w:sz w:val="26"/>
          <w:szCs w:val="26"/>
        </w:rPr>
        <w:t>You</w:t>
      </w:r>
      <w:r w:rsidR="00345E47" w:rsidRPr="00BE10AE">
        <w:rPr>
          <w:rFonts w:ascii="Garamond" w:hAnsi="Garamond"/>
          <w:sz w:val="26"/>
          <w:szCs w:val="26"/>
        </w:rPr>
        <w:t>’</w:t>
      </w:r>
      <w:r w:rsidR="00032B91" w:rsidRPr="00BE10AE">
        <w:rPr>
          <w:rFonts w:ascii="Garamond" w:hAnsi="Garamond"/>
          <w:sz w:val="26"/>
          <w:szCs w:val="26"/>
        </w:rPr>
        <w:t>re not going to resolve [the case], and that</w:t>
      </w:r>
      <w:r w:rsidR="00345E47" w:rsidRPr="00BE10AE">
        <w:rPr>
          <w:rFonts w:ascii="Garamond" w:hAnsi="Garamond"/>
          <w:sz w:val="26"/>
          <w:szCs w:val="26"/>
        </w:rPr>
        <w:t>’</w:t>
      </w:r>
      <w:r w:rsidR="00032B91" w:rsidRPr="00BE10AE">
        <w:rPr>
          <w:rFonts w:ascii="Garamond" w:hAnsi="Garamond"/>
          <w:sz w:val="26"/>
          <w:szCs w:val="26"/>
        </w:rPr>
        <w:t>s fine. So we</w:t>
      </w:r>
      <w:r w:rsidR="00345E47" w:rsidRPr="00BE10AE">
        <w:rPr>
          <w:rFonts w:ascii="Garamond" w:hAnsi="Garamond"/>
          <w:sz w:val="26"/>
          <w:szCs w:val="26"/>
        </w:rPr>
        <w:t>’</w:t>
      </w:r>
      <w:r w:rsidR="00032B91" w:rsidRPr="00BE10AE">
        <w:rPr>
          <w:rFonts w:ascii="Garamond" w:hAnsi="Garamond"/>
          <w:sz w:val="26"/>
          <w:szCs w:val="26"/>
        </w:rPr>
        <w:t>re going to get the monster by the tail, bring it into the courtroom and put him on that table and let him puke all over the place and crap all over the place. It</w:t>
      </w:r>
      <w:r w:rsidR="00345E47" w:rsidRPr="00BE10AE">
        <w:rPr>
          <w:rFonts w:ascii="Garamond" w:hAnsi="Garamond"/>
          <w:sz w:val="26"/>
          <w:szCs w:val="26"/>
        </w:rPr>
        <w:t>’</w:t>
      </w:r>
      <w:r w:rsidR="00032B91" w:rsidRPr="00BE10AE">
        <w:rPr>
          <w:rFonts w:ascii="Garamond" w:hAnsi="Garamond"/>
          <w:sz w:val="26"/>
          <w:szCs w:val="26"/>
        </w:rPr>
        <w:t>s going to be ugly. This is going to be ugly</w:t>
      </w:r>
      <w:r w:rsidR="00335E32" w:rsidRPr="00BE10AE">
        <w:rPr>
          <w:rFonts w:ascii="Garamond" w:hAnsi="Garamond"/>
          <w:sz w:val="26"/>
          <w:szCs w:val="26"/>
        </w:rPr>
        <w:t>.</w:t>
      </w:r>
      <w:r w:rsidR="00345E47" w:rsidRPr="00BE10AE">
        <w:rPr>
          <w:rFonts w:ascii="Garamond" w:hAnsi="Garamond"/>
          <w:sz w:val="26"/>
          <w:szCs w:val="26"/>
        </w:rPr>
        <w:t>”</w:t>
      </w:r>
      <w:r w:rsidR="00032B91" w:rsidRPr="00BE10AE">
        <w:rPr>
          <w:rFonts w:ascii="Garamond" w:hAnsi="Garamond"/>
          <w:sz w:val="26"/>
          <w:szCs w:val="26"/>
        </w:rPr>
        <w:t xml:space="preserve"> </w:t>
      </w:r>
    </w:p>
    <w:p w14:paraId="42A3D813" w14:textId="79F6F565" w:rsidR="004A73D0" w:rsidRPr="00BE10AE" w:rsidRDefault="006F167D" w:rsidP="00753A4B">
      <w:pPr>
        <w:spacing w:line="360" w:lineRule="auto"/>
        <w:ind w:firstLine="360"/>
        <w:contextualSpacing/>
        <w:rPr>
          <w:rFonts w:ascii="Garamond" w:hAnsi="Garamond"/>
          <w:sz w:val="26"/>
          <w:szCs w:val="26"/>
        </w:rPr>
      </w:pPr>
      <w:r w:rsidRPr="00BE10AE">
        <w:rPr>
          <w:rFonts w:ascii="Garamond" w:hAnsi="Garamond"/>
          <w:sz w:val="26"/>
          <w:szCs w:val="26"/>
        </w:rPr>
        <w:t>The</w:t>
      </w:r>
      <w:r w:rsidR="00ED1C5F" w:rsidRPr="00BE10AE">
        <w:rPr>
          <w:rFonts w:ascii="Garamond" w:hAnsi="Garamond"/>
          <w:sz w:val="26"/>
          <w:szCs w:val="26"/>
        </w:rPr>
        <w:t xml:space="preserve"> evidence against your client </w:t>
      </w:r>
      <w:r w:rsidR="00F23EDB" w:rsidRPr="00BE10AE">
        <w:rPr>
          <w:rFonts w:ascii="Garamond" w:hAnsi="Garamond"/>
          <w:sz w:val="26"/>
          <w:szCs w:val="26"/>
        </w:rPr>
        <w:t>was</w:t>
      </w:r>
      <w:r w:rsidR="00032B91" w:rsidRPr="00BE10AE">
        <w:rPr>
          <w:rFonts w:ascii="Garamond" w:hAnsi="Garamond"/>
          <w:sz w:val="26"/>
          <w:szCs w:val="26"/>
        </w:rPr>
        <w:t xml:space="preserve"> </w:t>
      </w:r>
      <w:r w:rsidR="00345E47" w:rsidRPr="00BE10AE">
        <w:rPr>
          <w:rFonts w:ascii="Garamond" w:hAnsi="Garamond"/>
          <w:sz w:val="26"/>
          <w:szCs w:val="26"/>
        </w:rPr>
        <w:t>“</w:t>
      </w:r>
      <w:r w:rsidR="00032B91" w:rsidRPr="00BE10AE">
        <w:rPr>
          <w:rFonts w:ascii="Garamond" w:hAnsi="Garamond"/>
          <w:sz w:val="26"/>
          <w:szCs w:val="26"/>
        </w:rPr>
        <w:t>damning</w:t>
      </w:r>
      <w:r w:rsidRPr="00BE10AE">
        <w:rPr>
          <w:rFonts w:ascii="Garamond" w:hAnsi="Garamond"/>
          <w:sz w:val="26"/>
          <w:szCs w:val="26"/>
        </w:rPr>
        <w:t>,</w:t>
      </w:r>
      <w:r w:rsidR="00345E47" w:rsidRPr="00BE10AE">
        <w:rPr>
          <w:rFonts w:ascii="Garamond" w:hAnsi="Garamond"/>
          <w:sz w:val="26"/>
          <w:szCs w:val="26"/>
        </w:rPr>
        <w:t>”</w:t>
      </w:r>
      <w:r w:rsidR="00032B91" w:rsidRPr="00BE10AE">
        <w:rPr>
          <w:rFonts w:ascii="Garamond" w:hAnsi="Garamond"/>
          <w:sz w:val="26"/>
          <w:szCs w:val="26"/>
        </w:rPr>
        <w:t xml:space="preserve"> </w:t>
      </w:r>
      <w:r w:rsidRPr="00BE10AE">
        <w:rPr>
          <w:rFonts w:ascii="Garamond" w:hAnsi="Garamond"/>
          <w:sz w:val="26"/>
          <w:szCs w:val="26"/>
        </w:rPr>
        <w:t xml:space="preserve">the judge </w:t>
      </w:r>
      <w:r w:rsidR="00F23EDB" w:rsidRPr="00BE10AE">
        <w:rPr>
          <w:rFonts w:ascii="Garamond" w:hAnsi="Garamond"/>
          <w:sz w:val="26"/>
          <w:szCs w:val="26"/>
        </w:rPr>
        <w:t>said</w:t>
      </w:r>
      <w:r w:rsidRPr="00BE10AE">
        <w:rPr>
          <w:rFonts w:ascii="Garamond" w:hAnsi="Garamond"/>
          <w:sz w:val="26"/>
          <w:szCs w:val="26"/>
        </w:rPr>
        <w:t xml:space="preserve">, </w:t>
      </w:r>
      <w:r w:rsidR="00345E47" w:rsidRPr="00BE10AE">
        <w:rPr>
          <w:rFonts w:ascii="Garamond" w:hAnsi="Garamond"/>
          <w:sz w:val="26"/>
          <w:szCs w:val="26"/>
        </w:rPr>
        <w:t>“</w:t>
      </w:r>
      <w:r w:rsidR="00032B91" w:rsidRPr="00BE10AE">
        <w:rPr>
          <w:rFonts w:ascii="Garamond" w:hAnsi="Garamond"/>
          <w:sz w:val="26"/>
          <w:szCs w:val="26"/>
        </w:rPr>
        <w:t>overwhelming</w:t>
      </w:r>
      <w:r w:rsidR="005B3F94" w:rsidRPr="00BE10AE">
        <w:rPr>
          <w:rFonts w:ascii="Garamond" w:hAnsi="Garamond"/>
          <w:sz w:val="26"/>
          <w:szCs w:val="26"/>
        </w:rPr>
        <w:t>” even.</w:t>
      </w:r>
      <w:r w:rsidR="00032B91" w:rsidRPr="00BE10AE">
        <w:rPr>
          <w:rFonts w:ascii="Garamond" w:hAnsi="Garamond"/>
          <w:sz w:val="26"/>
          <w:szCs w:val="26"/>
        </w:rPr>
        <w:t xml:space="preserve"> </w:t>
      </w:r>
      <w:r w:rsidR="00345E47" w:rsidRPr="00BE10AE">
        <w:rPr>
          <w:rFonts w:ascii="Garamond" w:hAnsi="Garamond"/>
          <w:sz w:val="26"/>
          <w:szCs w:val="26"/>
        </w:rPr>
        <w:t>“</w:t>
      </w:r>
      <w:r w:rsidR="00A8432C" w:rsidRPr="00BE10AE">
        <w:rPr>
          <w:rFonts w:ascii="Garamond" w:hAnsi="Garamond"/>
          <w:sz w:val="26"/>
          <w:szCs w:val="26"/>
        </w:rPr>
        <w:t>F</w:t>
      </w:r>
      <w:r w:rsidR="00032B91" w:rsidRPr="00BE10AE">
        <w:rPr>
          <w:rFonts w:ascii="Garamond" w:hAnsi="Garamond"/>
          <w:sz w:val="26"/>
          <w:szCs w:val="26"/>
        </w:rPr>
        <w:t xml:space="preserve">our little victims are going to parade in here and say, </w:t>
      </w:r>
      <w:r w:rsidR="00345E47" w:rsidRPr="00BE10AE">
        <w:rPr>
          <w:rFonts w:ascii="Garamond" w:hAnsi="Garamond"/>
          <w:sz w:val="26"/>
          <w:szCs w:val="26"/>
        </w:rPr>
        <w:t>‘</w:t>
      </w:r>
      <w:r w:rsidR="00032B91" w:rsidRPr="00BE10AE">
        <w:rPr>
          <w:rFonts w:ascii="Garamond" w:hAnsi="Garamond"/>
          <w:sz w:val="26"/>
          <w:szCs w:val="26"/>
        </w:rPr>
        <w:t>The man touched me</w:t>
      </w:r>
      <w:r w:rsidR="00A8432C" w:rsidRPr="00BE10AE">
        <w:rPr>
          <w:rFonts w:ascii="Garamond" w:hAnsi="Garamond"/>
          <w:sz w:val="26"/>
          <w:szCs w:val="26"/>
        </w:rPr>
        <w:t>,</w:t>
      </w:r>
      <w:r w:rsidR="00345E47" w:rsidRPr="00BE10AE">
        <w:rPr>
          <w:rFonts w:ascii="Garamond" w:hAnsi="Garamond"/>
          <w:sz w:val="26"/>
          <w:szCs w:val="26"/>
        </w:rPr>
        <w:t>’”</w:t>
      </w:r>
      <w:r w:rsidR="00A8432C" w:rsidRPr="00BE10AE">
        <w:rPr>
          <w:rFonts w:ascii="Garamond" w:hAnsi="Garamond"/>
          <w:sz w:val="26"/>
          <w:szCs w:val="26"/>
        </w:rPr>
        <w:t xml:space="preserve"> he </w:t>
      </w:r>
      <w:r w:rsidR="00F23EDB" w:rsidRPr="00BE10AE">
        <w:rPr>
          <w:rFonts w:ascii="Garamond" w:hAnsi="Garamond"/>
          <w:sz w:val="26"/>
          <w:szCs w:val="26"/>
        </w:rPr>
        <w:t>told</w:t>
      </w:r>
      <w:r w:rsidR="00A8432C" w:rsidRPr="00BE10AE">
        <w:rPr>
          <w:rFonts w:ascii="Garamond" w:hAnsi="Garamond"/>
          <w:sz w:val="26"/>
          <w:szCs w:val="26"/>
        </w:rPr>
        <w:t xml:space="preserve"> your client.</w:t>
      </w:r>
      <w:r w:rsidR="002D192F" w:rsidRPr="00BE10AE">
        <w:rPr>
          <w:rFonts w:ascii="Garamond" w:hAnsi="Garamond"/>
          <w:sz w:val="26"/>
          <w:szCs w:val="26"/>
        </w:rPr>
        <w:t xml:space="preserve"> </w:t>
      </w:r>
      <w:r w:rsidR="00345E47" w:rsidRPr="00BE10AE">
        <w:rPr>
          <w:rFonts w:ascii="Garamond" w:hAnsi="Garamond"/>
          <w:sz w:val="26"/>
          <w:szCs w:val="26"/>
        </w:rPr>
        <w:t>“</w:t>
      </w:r>
      <w:r w:rsidR="002D15D6" w:rsidRPr="00BE10AE">
        <w:rPr>
          <w:rFonts w:ascii="Garamond" w:hAnsi="Garamond"/>
          <w:sz w:val="26"/>
          <w:szCs w:val="26"/>
        </w:rPr>
        <w:t xml:space="preserve">If we were talking about </w:t>
      </w:r>
      <w:r w:rsidR="00E91D40" w:rsidRPr="00BE10AE">
        <w:rPr>
          <w:rFonts w:ascii="Garamond" w:hAnsi="Garamond"/>
          <w:sz w:val="26"/>
          <w:szCs w:val="26"/>
        </w:rPr>
        <w:t>[an insufficient funds]</w:t>
      </w:r>
      <w:r w:rsidR="002D15D6" w:rsidRPr="00BE10AE">
        <w:rPr>
          <w:rFonts w:ascii="Garamond" w:hAnsi="Garamond"/>
          <w:sz w:val="26"/>
          <w:szCs w:val="26"/>
        </w:rPr>
        <w:t xml:space="preserve"> check case,</w:t>
      </w:r>
      <w:r w:rsidR="00345E47" w:rsidRPr="00BE10AE">
        <w:rPr>
          <w:rFonts w:ascii="Garamond" w:hAnsi="Garamond"/>
          <w:sz w:val="26"/>
          <w:szCs w:val="26"/>
        </w:rPr>
        <w:t>”</w:t>
      </w:r>
      <w:r w:rsidR="002D15D6" w:rsidRPr="00BE10AE">
        <w:rPr>
          <w:rFonts w:ascii="Garamond" w:hAnsi="Garamond"/>
          <w:sz w:val="26"/>
          <w:szCs w:val="26"/>
        </w:rPr>
        <w:t xml:space="preserve"> </w:t>
      </w:r>
      <w:r w:rsidR="002D192F" w:rsidRPr="00BE10AE">
        <w:rPr>
          <w:rFonts w:ascii="Garamond" w:hAnsi="Garamond"/>
          <w:sz w:val="26"/>
          <w:szCs w:val="26"/>
        </w:rPr>
        <w:t>he continue</w:t>
      </w:r>
      <w:r w:rsidR="00F23EDB" w:rsidRPr="00BE10AE">
        <w:rPr>
          <w:rFonts w:ascii="Garamond" w:hAnsi="Garamond"/>
          <w:sz w:val="26"/>
          <w:szCs w:val="26"/>
        </w:rPr>
        <w:t>d</w:t>
      </w:r>
      <w:r w:rsidR="002D15D6" w:rsidRPr="00BE10AE">
        <w:rPr>
          <w:rFonts w:ascii="Garamond" w:hAnsi="Garamond"/>
          <w:sz w:val="26"/>
          <w:szCs w:val="26"/>
        </w:rPr>
        <w:t xml:space="preserve">, </w:t>
      </w:r>
      <w:r w:rsidR="00345E47" w:rsidRPr="00BE10AE">
        <w:rPr>
          <w:rFonts w:ascii="Garamond" w:hAnsi="Garamond"/>
          <w:sz w:val="26"/>
          <w:szCs w:val="26"/>
        </w:rPr>
        <w:t>“</w:t>
      </w:r>
      <w:r w:rsidR="002D15D6" w:rsidRPr="00BE10AE">
        <w:rPr>
          <w:rFonts w:ascii="Garamond" w:hAnsi="Garamond"/>
          <w:sz w:val="26"/>
          <w:szCs w:val="26"/>
        </w:rPr>
        <w:t>there wouldn</w:t>
      </w:r>
      <w:r w:rsidR="00345E47" w:rsidRPr="00BE10AE">
        <w:rPr>
          <w:rFonts w:ascii="Garamond" w:hAnsi="Garamond"/>
          <w:sz w:val="26"/>
          <w:szCs w:val="26"/>
        </w:rPr>
        <w:t>’</w:t>
      </w:r>
      <w:r w:rsidR="002D15D6" w:rsidRPr="00BE10AE">
        <w:rPr>
          <w:rFonts w:ascii="Garamond" w:hAnsi="Garamond"/>
          <w:sz w:val="26"/>
          <w:szCs w:val="26"/>
        </w:rPr>
        <w:t>t be any emotion here. It would be a matter of numbers on paper, ink on paper, dollars. But what we</w:t>
      </w:r>
      <w:r w:rsidR="00345E47" w:rsidRPr="00BE10AE">
        <w:rPr>
          <w:rFonts w:ascii="Garamond" w:hAnsi="Garamond"/>
          <w:sz w:val="26"/>
          <w:szCs w:val="26"/>
        </w:rPr>
        <w:t>’</w:t>
      </w:r>
      <w:r w:rsidR="002D15D6" w:rsidRPr="00BE10AE">
        <w:rPr>
          <w:rFonts w:ascii="Garamond" w:hAnsi="Garamond"/>
          <w:sz w:val="26"/>
          <w:szCs w:val="26"/>
        </w:rPr>
        <w:t>re talking about here is a crime against the person. Murders aren</w:t>
      </w:r>
      <w:r w:rsidR="00345E47" w:rsidRPr="00BE10AE">
        <w:rPr>
          <w:rFonts w:ascii="Garamond" w:hAnsi="Garamond"/>
          <w:sz w:val="26"/>
          <w:szCs w:val="26"/>
        </w:rPr>
        <w:t>’</w:t>
      </w:r>
      <w:r w:rsidR="002D15D6" w:rsidRPr="00BE10AE">
        <w:rPr>
          <w:rFonts w:ascii="Garamond" w:hAnsi="Garamond"/>
          <w:sz w:val="26"/>
          <w:szCs w:val="26"/>
        </w:rPr>
        <w:t>t pretty. Rapes aren</w:t>
      </w:r>
      <w:r w:rsidR="00345E47" w:rsidRPr="00BE10AE">
        <w:rPr>
          <w:rFonts w:ascii="Garamond" w:hAnsi="Garamond"/>
          <w:sz w:val="26"/>
          <w:szCs w:val="26"/>
        </w:rPr>
        <w:t>’</w:t>
      </w:r>
      <w:r w:rsidR="002D15D6" w:rsidRPr="00BE10AE">
        <w:rPr>
          <w:rFonts w:ascii="Garamond" w:hAnsi="Garamond"/>
          <w:sz w:val="26"/>
          <w:szCs w:val="26"/>
        </w:rPr>
        <w:t>t pretty. Child molests aren</w:t>
      </w:r>
      <w:r w:rsidR="00345E47" w:rsidRPr="00BE10AE">
        <w:rPr>
          <w:rFonts w:ascii="Garamond" w:hAnsi="Garamond"/>
          <w:sz w:val="26"/>
          <w:szCs w:val="26"/>
        </w:rPr>
        <w:t>’</w:t>
      </w:r>
      <w:r w:rsidR="002D15D6" w:rsidRPr="00BE10AE">
        <w:rPr>
          <w:rFonts w:ascii="Garamond" w:hAnsi="Garamond"/>
          <w:sz w:val="26"/>
          <w:szCs w:val="26"/>
        </w:rPr>
        <w:t>t pretty. And that</w:t>
      </w:r>
      <w:r w:rsidR="00345E47" w:rsidRPr="00BE10AE">
        <w:rPr>
          <w:rFonts w:ascii="Garamond" w:hAnsi="Garamond"/>
          <w:sz w:val="26"/>
          <w:szCs w:val="26"/>
        </w:rPr>
        <w:t>’</w:t>
      </w:r>
      <w:r w:rsidR="002D15D6" w:rsidRPr="00BE10AE">
        <w:rPr>
          <w:rFonts w:ascii="Garamond" w:hAnsi="Garamond"/>
          <w:sz w:val="26"/>
          <w:szCs w:val="26"/>
        </w:rPr>
        <w:t>s what we</w:t>
      </w:r>
      <w:r w:rsidR="00345E47" w:rsidRPr="00BE10AE">
        <w:rPr>
          <w:rFonts w:ascii="Garamond" w:hAnsi="Garamond"/>
          <w:sz w:val="26"/>
          <w:szCs w:val="26"/>
        </w:rPr>
        <w:t>’</w:t>
      </w:r>
      <w:r w:rsidR="002D15D6" w:rsidRPr="00BE10AE">
        <w:rPr>
          <w:rFonts w:ascii="Garamond" w:hAnsi="Garamond"/>
          <w:sz w:val="26"/>
          <w:szCs w:val="26"/>
        </w:rPr>
        <w:t>re dealing with.</w:t>
      </w:r>
      <w:r w:rsidR="00345E47" w:rsidRPr="00BE10AE">
        <w:rPr>
          <w:rFonts w:ascii="Garamond" w:hAnsi="Garamond"/>
          <w:sz w:val="26"/>
          <w:szCs w:val="26"/>
        </w:rPr>
        <w:t>”</w:t>
      </w:r>
    </w:p>
    <w:p w14:paraId="2FE02056" w14:textId="00D2AD54" w:rsidR="00753A4B" w:rsidRPr="00BE10AE" w:rsidRDefault="002D192F" w:rsidP="00753A4B">
      <w:pPr>
        <w:spacing w:line="360" w:lineRule="auto"/>
        <w:ind w:firstLine="360"/>
        <w:contextualSpacing/>
        <w:rPr>
          <w:rFonts w:ascii="Garamond" w:hAnsi="Garamond"/>
          <w:sz w:val="26"/>
          <w:szCs w:val="26"/>
        </w:rPr>
      </w:pPr>
      <w:r w:rsidRPr="00BE10AE">
        <w:rPr>
          <w:rFonts w:ascii="Garamond" w:hAnsi="Garamond"/>
          <w:sz w:val="26"/>
          <w:szCs w:val="26"/>
        </w:rPr>
        <w:t>After hearing this, your client finally cave</w:t>
      </w:r>
      <w:r w:rsidR="00AD0F35" w:rsidRPr="00BE10AE">
        <w:rPr>
          <w:rFonts w:ascii="Garamond" w:hAnsi="Garamond"/>
          <w:sz w:val="26"/>
          <w:szCs w:val="26"/>
        </w:rPr>
        <w:t>d</w:t>
      </w:r>
      <w:r w:rsidRPr="00BE10AE">
        <w:rPr>
          <w:rFonts w:ascii="Garamond" w:hAnsi="Garamond"/>
          <w:sz w:val="26"/>
          <w:szCs w:val="26"/>
        </w:rPr>
        <w:t xml:space="preserve"> and </w:t>
      </w:r>
      <w:r w:rsidR="00AD0F35" w:rsidRPr="00BE10AE">
        <w:rPr>
          <w:rFonts w:ascii="Garamond" w:hAnsi="Garamond"/>
          <w:sz w:val="26"/>
          <w:szCs w:val="26"/>
        </w:rPr>
        <w:t>took the</w:t>
      </w:r>
      <w:r w:rsidRPr="00BE10AE">
        <w:rPr>
          <w:rFonts w:ascii="Garamond" w:hAnsi="Garamond"/>
          <w:sz w:val="26"/>
          <w:szCs w:val="26"/>
        </w:rPr>
        <w:t xml:space="preserve"> plea.</w:t>
      </w:r>
    </w:p>
    <w:p w14:paraId="329A3029" w14:textId="4DB3B887" w:rsidR="002D192F" w:rsidRPr="00BE10AE" w:rsidRDefault="00BC3C38" w:rsidP="002D192F">
      <w:pPr>
        <w:spacing w:line="360" w:lineRule="auto"/>
        <w:ind w:firstLine="360"/>
        <w:contextualSpacing/>
        <w:rPr>
          <w:rFonts w:ascii="Garamond" w:hAnsi="Garamond"/>
          <w:sz w:val="26"/>
          <w:szCs w:val="26"/>
        </w:rPr>
      </w:pPr>
      <w:r w:rsidRPr="00BE10AE">
        <w:rPr>
          <w:rFonts w:ascii="Garamond" w:hAnsi="Garamond"/>
          <w:sz w:val="26"/>
          <w:szCs w:val="26"/>
        </w:rPr>
        <w:t>Was the plea the product of judicial coercion</w:t>
      </w:r>
      <w:r w:rsidR="00753A4B" w:rsidRPr="00BE10AE">
        <w:rPr>
          <w:rFonts w:ascii="Garamond" w:hAnsi="Garamond"/>
          <w:sz w:val="26"/>
          <w:szCs w:val="26"/>
        </w:rPr>
        <w:t xml:space="preserve">? </w:t>
      </w:r>
      <w:r w:rsidRPr="00BE10AE">
        <w:rPr>
          <w:rFonts w:ascii="Garamond" w:hAnsi="Garamond"/>
          <w:sz w:val="26"/>
          <w:szCs w:val="26"/>
        </w:rPr>
        <w:t>You bet</w:t>
      </w:r>
      <w:r w:rsidR="00472D90" w:rsidRPr="00BE10AE">
        <w:rPr>
          <w:rFonts w:ascii="Garamond" w:hAnsi="Garamond"/>
          <w:sz w:val="26"/>
          <w:szCs w:val="26"/>
        </w:rPr>
        <w:t xml:space="preserve">. </w:t>
      </w:r>
    </w:p>
    <w:p w14:paraId="7E646C69" w14:textId="71B30020" w:rsidR="00E613BF" w:rsidRPr="00BE10AE" w:rsidRDefault="00AF41B0" w:rsidP="002D192F">
      <w:pPr>
        <w:spacing w:line="360" w:lineRule="auto"/>
        <w:ind w:firstLine="360"/>
        <w:contextualSpacing/>
        <w:rPr>
          <w:rFonts w:ascii="Garamond" w:hAnsi="Garamond"/>
          <w:sz w:val="26"/>
          <w:szCs w:val="26"/>
        </w:rPr>
      </w:pPr>
      <w:r w:rsidRPr="00BE10AE">
        <w:rPr>
          <w:rFonts w:ascii="Garamond" w:hAnsi="Garamond"/>
          <w:sz w:val="26"/>
          <w:szCs w:val="26"/>
        </w:rPr>
        <w:t>Th</w:t>
      </w:r>
      <w:r w:rsidR="00AD0F35" w:rsidRPr="00BE10AE">
        <w:rPr>
          <w:rFonts w:ascii="Garamond" w:hAnsi="Garamond"/>
          <w:sz w:val="26"/>
          <w:szCs w:val="26"/>
        </w:rPr>
        <w:t>ese</w:t>
      </w:r>
      <w:r w:rsidRPr="00BE10AE">
        <w:rPr>
          <w:rFonts w:ascii="Garamond" w:hAnsi="Garamond"/>
          <w:sz w:val="26"/>
          <w:szCs w:val="26"/>
        </w:rPr>
        <w:t xml:space="preserve"> facts c</w:t>
      </w:r>
      <w:r w:rsidR="003A7352" w:rsidRPr="00BE10AE">
        <w:rPr>
          <w:rFonts w:ascii="Garamond" w:hAnsi="Garamond"/>
          <w:sz w:val="26"/>
          <w:szCs w:val="26"/>
        </w:rPr>
        <w:t>o</w:t>
      </w:r>
      <w:r w:rsidRPr="00BE10AE">
        <w:rPr>
          <w:rFonts w:ascii="Garamond" w:hAnsi="Garamond"/>
          <w:sz w:val="26"/>
          <w:szCs w:val="26"/>
        </w:rPr>
        <w:t xml:space="preserve">me from </w:t>
      </w:r>
      <w:r w:rsidRPr="00BE10AE">
        <w:rPr>
          <w:rFonts w:ascii="Garamond" w:hAnsi="Garamond"/>
          <w:i/>
          <w:iCs/>
          <w:sz w:val="26"/>
          <w:szCs w:val="26"/>
        </w:rPr>
        <w:t>People v. Weaver</w:t>
      </w:r>
      <w:r w:rsidRPr="00BE10AE">
        <w:rPr>
          <w:rFonts w:ascii="Garamond" w:hAnsi="Garamond"/>
          <w:sz w:val="26"/>
          <w:szCs w:val="26"/>
        </w:rPr>
        <w:t xml:space="preserve"> (2004) 118 Cal.App.4th </w:t>
      </w:r>
      <w:r w:rsidR="007414D1" w:rsidRPr="00BE10AE">
        <w:rPr>
          <w:rFonts w:ascii="Garamond" w:hAnsi="Garamond"/>
          <w:sz w:val="26"/>
          <w:szCs w:val="26"/>
        </w:rPr>
        <w:t>131</w:t>
      </w:r>
      <w:r w:rsidR="003A7352" w:rsidRPr="00BE10AE">
        <w:rPr>
          <w:rFonts w:ascii="Garamond" w:hAnsi="Garamond"/>
          <w:sz w:val="26"/>
          <w:szCs w:val="26"/>
        </w:rPr>
        <w:t>.</w:t>
      </w:r>
      <w:r w:rsidR="00756D50" w:rsidRPr="00BE10AE">
        <w:rPr>
          <w:rFonts w:ascii="Garamond" w:hAnsi="Garamond"/>
          <w:sz w:val="26"/>
          <w:szCs w:val="26"/>
        </w:rPr>
        <w:t xml:space="preserve"> T</w:t>
      </w:r>
      <w:r w:rsidR="006F3BDD" w:rsidRPr="00BE10AE">
        <w:rPr>
          <w:rFonts w:ascii="Garamond" w:hAnsi="Garamond"/>
          <w:sz w:val="26"/>
          <w:szCs w:val="26"/>
        </w:rPr>
        <w:t xml:space="preserve">he Court of Appeal </w:t>
      </w:r>
      <w:r w:rsidR="00AD0F35" w:rsidRPr="00BE10AE">
        <w:rPr>
          <w:rFonts w:ascii="Garamond" w:hAnsi="Garamond"/>
          <w:sz w:val="26"/>
          <w:szCs w:val="26"/>
        </w:rPr>
        <w:t xml:space="preserve">in </w:t>
      </w:r>
      <w:r w:rsidR="00AD0F35" w:rsidRPr="00BE10AE">
        <w:rPr>
          <w:rFonts w:ascii="Garamond" w:hAnsi="Garamond"/>
          <w:i/>
          <w:iCs/>
          <w:sz w:val="26"/>
          <w:szCs w:val="26"/>
        </w:rPr>
        <w:t>Weaver</w:t>
      </w:r>
      <w:r w:rsidR="00AD0F35" w:rsidRPr="00BE10AE">
        <w:rPr>
          <w:rFonts w:ascii="Garamond" w:hAnsi="Garamond"/>
          <w:sz w:val="26"/>
          <w:szCs w:val="26"/>
        </w:rPr>
        <w:t xml:space="preserve"> </w:t>
      </w:r>
      <w:r w:rsidR="003A7352" w:rsidRPr="00BE10AE">
        <w:rPr>
          <w:rFonts w:ascii="Garamond" w:hAnsi="Garamond"/>
          <w:sz w:val="26"/>
          <w:szCs w:val="26"/>
        </w:rPr>
        <w:t>called</w:t>
      </w:r>
      <w:r w:rsidR="006F3BDD" w:rsidRPr="00BE10AE">
        <w:rPr>
          <w:rFonts w:ascii="Garamond" w:hAnsi="Garamond"/>
          <w:sz w:val="26"/>
          <w:szCs w:val="26"/>
        </w:rPr>
        <w:t xml:space="preserve"> </w:t>
      </w:r>
      <w:r w:rsidR="00D64ED8" w:rsidRPr="00BE10AE">
        <w:rPr>
          <w:rFonts w:ascii="Garamond" w:hAnsi="Garamond"/>
          <w:sz w:val="26"/>
          <w:szCs w:val="26"/>
        </w:rPr>
        <w:t>the trial court</w:t>
      </w:r>
      <w:r w:rsidR="00345E47" w:rsidRPr="00BE10AE">
        <w:rPr>
          <w:rFonts w:ascii="Garamond" w:hAnsi="Garamond"/>
          <w:sz w:val="26"/>
          <w:szCs w:val="26"/>
        </w:rPr>
        <w:t>’</w:t>
      </w:r>
      <w:r w:rsidR="00D64ED8" w:rsidRPr="00BE10AE">
        <w:rPr>
          <w:rFonts w:ascii="Garamond" w:hAnsi="Garamond"/>
          <w:sz w:val="26"/>
          <w:szCs w:val="26"/>
        </w:rPr>
        <w:t xml:space="preserve">s changing of </w:t>
      </w:r>
      <w:r w:rsidR="00345E47" w:rsidRPr="00BE10AE">
        <w:rPr>
          <w:rFonts w:ascii="Garamond" w:hAnsi="Garamond"/>
          <w:sz w:val="26"/>
          <w:szCs w:val="26"/>
        </w:rPr>
        <w:t>“</w:t>
      </w:r>
      <w:r w:rsidR="00D64ED8" w:rsidRPr="00BE10AE">
        <w:rPr>
          <w:rFonts w:ascii="Garamond" w:hAnsi="Garamond"/>
          <w:sz w:val="26"/>
          <w:szCs w:val="26"/>
        </w:rPr>
        <w:t>hats</w:t>
      </w:r>
      <w:r w:rsidR="00345E47" w:rsidRPr="00BE10AE">
        <w:rPr>
          <w:rFonts w:ascii="Garamond" w:hAnsi="Garamond"/>
          <w:sz w:val="26"/>
          <w:szCs w:val="26"/>
        </w:rPr>
        <w:t>”</w:t>
      </w:r>
      <w:r w:rsidR="00D64ED8" w:rsidRPr="00BE10AE">
        <w:rPr>
          <w:rFonts w:ascii="Garamond" w:hAnsi="Garamond"/>
          <w:sz w:val="26"/>
          <w:szCs w:val="26"/>
        </w:rPr>
        <w:t xml:space="preserve"> during </w:t>
      </w:r>
      <w:r w:rsidR="00AD0F35" w:rsidRPr="00BE10AE">
        <w:rPr>
          <w:rFonts w:ascii="Garamond" w:hAnsi="Garamond"/>
          <w:sz w:val="26"/>
          <w:szCs w:val="26"/>
        </w:rPr>
        <w:t>the</w:t>
      </w:r>
      <w:r w:rsidR="00D64ED8" w:rsidRPr="00BE10AE">
        <w:rPr>
          <w:rFonts w:ascii="Garamond" w:hAnsi="Garamond"/>
          <w:sz w:val="26"/>
          <w:szCs w:val="26"/>
        </w:rPr>
        <w:t xml:space="preserve"> hearings </w:t>
      </w:r>
      <w:r w:rsidR="00345E47" w:rsidRPr="00BE10AE">
        <w:rPr>
          <w:rFonts w:ascii="Garamond" w:hAnsi="Garamond"/>
          <w:sz w:val="26"/>
          <w:szCs w:val="26"/>
        </w:rPr>
        <w:t>“</w:t>
      </w:r>
      <w:r w:rsidR="00D64ED8" w:rsidRPr="00BE10AE">
        <w:rPr>
          <w:rFonts w:ascii="Garamond" w:hAnsi="Garamond"/>
          <w:sz w:val="26"/>
          <w:szCs w:val="26"/>
        </w:rPr>
        <w:t>head spinning.</w:t>
      </w:r>
      <w:r w:rsidR="00345E47" w:rsidRPr="00BE10AE">
        <w:rPr>
          <w:rFonts w:ascii="Garamond" w:hAnsi="Garamond"/>
          <w:sz w:val="26"/>
          <w:szCs w:val="26"/>
        </w:rPr>
        <w:t>”</w:t>
      </w:r>
      <w:r w:rsidR="00D64ED8" w:rsidRPr="00BE10AE">
        <w:rPr>
          <w:rFonts w:ascii="Garamond" w:hAnsi="Garamond"/>
          <w:sz w:val="26"/>
          <w:szCs w:val="26"/>
        </w:rPr>
        <w:t xml:space="preserve"> (</w:t>
      </w:r>
      <w:r w:rsidR="00201675" w:rsidRPr="00BE10AE">
        <w:rPr>
          <w:rFonts w:ascii="Garamond" w:hAnsi="Garamond"/>
          <w:i/>
          <w:iCs/>
          <w:sz w:val="26"/>
          <w:szCs w:val="26"/>
        </w:rPr>
        <w:t>Id</w:t>
      </w:r>
      <w:r w:rsidR="00201675" w:rsidRPr="00BE10AE">
        <w:rPr>
          <w:rFonts w:ascii="Garamond" w:hAnsi="Garamond"/>
          <w:sz w:val="26"/>
          <w:szCs w:val="26"/>
        </w:rPr>
        <w:t xml:space="preserve">. at p. </w:t>
      </w:r>
      <w:r w:rsidR="003668E2" w:rsidRPr="00BE10AE">
        <w:rPr>
          <w:rFonts w:ascii="Garamond" w:hAnsi="Garamond"/>
          <w:sz w:val="26"/>
          <w:szCs w:val="26"/>
        </w:rPr>
        <w:t>149</w:t>
      </w:r>
      <w:r w:rsidR="00D64ED8" w:rsidRPr="00BE10AE">
        <w:rPr>
          <w:rFonts w:ascii="Garamond" w:hAnsi="Garamond"/>
          <w:sz w:val="26"/>
          <w:szCs w:val="26"/>
        </w:rPr>
        <w:t xml:space="preserve">.) </w:t>
      </w:r>
      <w:r w:rsidR="00103216" w:rsidRPr="00BE10AE">
        <w:rPr>
          <w:rFonts w:ascii="Garamond" w:hAnsi="Garamond"/>
          <w:sz w:val="26"/>
          <w:szCs w:val="26"/>
        </w:rPr>
        <w:t>At any given time, the judge</w:t>
      </w:r>
      <w:r w:rsidR="00D64ED8" w:rsidRPr="00BE10AE">
        <w:rPr>
          <w:rFonts w:ascii="Garamond" w:hAnsi="Garamond"/>
          <w:sz w:val="26"/>
          <w:szCs w:val="26"/>
        </w:rPr>
        <w:t xml:space="preserve"> </w:t>
      </w:r>
      <w:r w:rsidR="00345E47" w:rsidRPr="00BE10AE">
        <w:rPr>
          <w:rFonts w:ascii="Garamond" w:hAnsi="Garamond"/>
          <w:sz w:val="26"/>
          <w:szCs w:val="26"/>
        </w:rPr>
        <w:t>“</w:t>
      </w:r>
      <w:r w:rsidR="00D64ED8" w:rsidRPr="00BE10AE">
        <w:rPr>
          <w:rFonts w:ascii="Garamond" w:hAnsi="Garamond"/>
          <w:sz w:val="26"/>
          <w:szCs w:val="26"/>
        </w:rPr>
        <w:t>seemed to fill the role of judge, jury, defense counsel, prosecutor, psychiatrist, social worker and victims</w:t>
      </w:r>
      <w:r w:rsidR="00345E47" w:rsidRPr="00BE10AE">
        <w:rPr>
          <w:rFonts w:ascii="Garamond" w:hAnsi="Garamond"/>
          <w:sz w:val="26"/>
          <w:szCs w:val="26"/>
        </w:rPr>
        <w:t>’</w:t>
      </w:r>
      <w:r w:rsidR="00D64ED8" w:rsidRPr="00BE10AE">
        <w:rPr>
          <w:rFonts w:ascii="Garamond" w:hAnsi="Garamond"/>
          <w:sz w:val="26"/>
          <w:szCs w:val="26"/>
        </w:rPr>
        <w:t xml:space="preserve"> advocate.</w:t>
      </w:r>
      <w:r w:rsidR="00345E47" w:rsidRPr="00BE10AE">
        <w:rPr>
          <w:rFonts w:ascii="Garamond" w:hAnsi="Garamond"/>
          <w:sz w:val="26"/>
          <w:szCs w:val="26"/>
        </w:rPr>
        <w:t>”</w:t>
      </w:r>
      <w:r w:rsidR="00D64ED8" w:rsidRPr="00BE10AE">
        <w:rPr>
          <w:rFonts w:ascii="Garamond" w:hAnsi="Garamond"/>
          <w:sz w:val="26"/>
          <w:szCs w:val="26"/>
        </w:rPr>
        <w:t xml:space="preserve"> </w:t>
      </w:r>
      <w:r w:rsidR="003668E2" w:rsidRPr="00BE10AE">
        <w:rPr>
          <w:rFonts w:ascii="Garamond" w:hAnsi="Garamond"/>
          <w:sz w:val="26"/>
          <w:szCs w:val="26"/>
        </w:rPr>
        <w:t>(</w:t>
      </w:r>
      <w:r w:rsidR="004B40DF" w:rsidRPr="00BE10AE">
        <w:rPr>
          <w:rFonts w:ascii="Garamond" w:hAnsi="Garamond"/>
          <w:i/>
          <w:iCs/>
          <w:sz w:val="26"/>
          <w:szCs w:val="26"/>
        </w:rPr>
        <w:t>Ibid</w:t>
      </w:r>
      <w:r w:rsidR="003668E2" w:rsidRPr="00BE10AE">
        <w:rPr>
          <w:rFonts w:ascii="Garamond" w:hAnsi="Garamond"/>
          <w:sz w:val="26"/>
          <w:szCs w:val="26"/>
        </w:rPr>
        <w:t xml:space="preserve">.) </w:t>
      </w:r>
      <w:r w:rsidR="00E613BF" w:rsidRPr="00BE10AE">
        <w:rPr>
          <w:rFonts w:ascii="Garamond" w:hAnsi="Garamond"/>
          <w:sz w:val="26"/>
          <w:szCs w:val="26"/>
        </w:rPr>
        <w:t xml:space="preserve">The court </w:t>
      </w:r>
      <w:r w:rsidR="005A3D3A" w:rsidRPr="00BE10AE">
        <w:rPr>
          <w:rFonts w:ascii="Garamond" w:hAnsi="Garamond"/>
          <w:sz w:val="26"/>
          <w:szCs w:val="26"/>
        </w:rPr>
        <w:t>said</w:t>
      </w:r>
      <w:r w:rsidR="00E613BF" w:rsidRPr="00BE10AE">
        <w:rPr>
          <w:rFonts w:ascii="Garamond" w:hAnsi="Garamond"/>
          <w:sz w:val="26"/>
          <w:szCs w:val="26"/>
        </w:rPr>
        <w:t>:</w:t>
      </w:r>
    </w:p>
    <w:p w14:paraId="2D495D2E" w14:textId="6158D60E" w:rsidR="00E613BF" w:rsidRPr="00BE10AE" w:rsidRDefault="00345E47" w:rsidP="00E613BF">
      <w:pPr>
        <w:spacing w:line="240" w:lineRule="auto"/>
        <w:ind w:left="360"/>
        <w:rPr>
          <w:rFonts w:ascii="Garamond" w:hAnsi="Garamond"/>
          <w:sz w:val="26"/>
          <w:szCs w:val="26"/>
        </w:rPr>
      </w:pPr>
      <w:r w:rsidRPr="00BE10AE">
        <w:rPr>
          <w:rFonts w:ascii="Garamond" w:hAnsi="Garamond"/>
          <w:sz w:val="26"/>
          <w:szCs w:val="26"/>
        </w:rPr>
        <w:t>“</w:t>
      </w:r>
      <w:r w:rsidR="00E012F2" w:rsidRPr="00BE10AE">
        <w:rPr>
          <w:rFonts w:ascii="Garamond" w:hAnsi="Garamond"/>
          <w:sz w:val="26"/>
          <w:szCs w:val="26"/>
        </w:rPr>
        <w:t>The judge</w:t>
      </w:r>
      <w:r w:rsidRPr="00BE10AE">
        <w:rPr>
          <w:rFonts w:ascii="Garamond" w:hAnsi="Garamond"/>
          <w:sz w:val="26"/>
          <w:szCs w:val="26"/>
        </w:rPr>
        <w:t>’</w:t>
      </w:r>
      <w:r w:rsidR="00E012F2" w:rsidRPr="00BE10AE">
        <w:rPr>
          <w:rFonts w:ascii="Garamond" w:hAnsi="Garamond"/>
          <w:sz w:val="26"/>
          <w:szCs w:val="26"/>
        </w:rPr>
        <w:t>s histrionic monologues were not the stuff of mediation or facilitation. They were the stuff of advocacy. His understandable and often expressed concern that the victims not be victimized again could reasonably be taken by appellant and others viewing the proceeding as a comment that the judge would not look favorably on those who would, to no end, harm the children the defendant already harmed. The level and manner of the judge</w:t>
      </w:r>
      <w:r w:rsidRPr="00BE10AE">
        <w:rPr>
          <w:rFonts w:ascii="Garamond" w:hAnsi="Garamond"/>
          <w:sz w:val="26"/>
          <w:szCs w:val="26"/>
        </w:rPr>
        <w:t>’</w:t>
      </w:r>
      <w:r w:rsidR="00E012F2" w:rsidRPr="00BE10AE">
        <w:rPr>
          <w:rFonts w:ascii="Garamond" w:hAnsi="Garamond"/>
          <w:sz w:val="26"/>
          <w:szCs w:val="26"/>
        </w:rPr>
        <w:t>s interest and involvement in the negotiation process, particularly that of record and in appellant</w:t>
      </w:r>
      <w:r w:rsidRPr="00BE10AE">
        <w:rPr>
          <w:rFonts w:ascii="Garamond" w:hAnsi="Garamond"/>
          <w:sz w:val="26"/>
          <w:szCs w:val="26"/>
        </w:rPr>
        <w:t>’</w:t>
      </w:r>
      <w:r w:rsidR="00E012F2" w:rsidRPr="00BE10AE">
        <w:rPr>
          <w:rFonts w:ascii="Garamond" w:hAnsi="Garamond"/>
          <w:sz w:val="26"/>
          <w:szCs w:val="26"/>
        </w:rPr>
        <w:t>s presence, colored every aspect of the proceeding.</w:t>
      </w:r>
      <w:r w:rsidRPr="00BE10AE">
        <w:rPr>
          <w:rFonts w:ascii="Garamond" w:hAnsi="Garamond"/>
          <w:sz w:val="26"/>
          <w:szCs w:val="26"/>
        </w:rPr>
        <w:t>”</w:t>
      </w:r>
    </w:p>
    <w:p w14:paraId="4349DEB7" w14:textId="35288372" w:rsidR="004B40DF" w:rsidRPr="00BE10AE" w:rsidRDefault="005B2A9F" w:rsidP="00E613BF">
      <w:pPr>
        <w:spacing w:line="360" w:lineRule="auto"/>
        <w:contextualSpacing/>
        <w:rPr>
          <w:rFonts w:ascii="Garamond" w:hAnsi="Garamond"/>
          <w:sz w:val="26"/>
          <w:szCs w:val="26"/>
        </w:rPr>
      </w:pPr>
      <w:r w:rsidRPr="00BE10AE">
        <w:rPr>
          <w:rFonts w:ascii="Garamond" w:hAnsi="Garamond"/>
          <w:sz w:val="26"/>
          <w:szCs w:val="26"/>
        </w:rPr>
        <w:t>(</w:t>
      </w:r>
      <w:r w:rsidRPr="00BE10AE">
        <w:rPr>
          <w:rFonts w:ascii="Garamond" w:hAnsi="Garamond"/>
          <w:i/>
          <w:iCs/>
          <w:sz w:val="26"/>
          <w:szCs w:val="26"/>
        </w:rPr>
        <w:t>Ibid</w:t>
      </w:r>
      <w:r w:rsidRPr="00BE10AE">
        <w:rPr>
          <w:rFonts w:ascii="Garamond" w:hAnsi="Garamond"/>
          <w:sz w:val="26"/>
          <w:szCs w:val="26"/>
        </w:rPr>
        <w:t xml:space="preserve">.) </w:t>
      </w:r>
      <w:r w:rsidR="000F4387" w:rsidRPr="00BE10AE">
        <w:rPr>
          <w:rFonts w:ascii="Garamond" w:hAnsi="Garamond"/>
          <w:sz w:val="26"/>
          <w:szCs w:val="26"/>
        </w:rPr>
        <w:t>While, of course, judges</w:t>
      </w:r>
      <w:r w:rsidR="00D64ED8" w:rsidRPr="00BE10AE">
        <w:rPr>
          <w:rFonts w:ascii="Garamond" w:hAnsi="Garamond"/>
          <w:sz w:val="26"/>
          <w:szCs w:val="26"/>
        </w:rPr>
        <w:t xml:space="preserve"> can </w:t>
      </w:r>
      <w:r w:rsidR="00345E47" w:rsidRPr="00BE10AE">
        <w:rPr>
          <w:rFonts w:ascii="Garamond" w:hAnsi="Garamond"/>
          <w:sz w:val="26"/>
          <w:szCs w:val="26"/>
        </w:rPr>
        <w:t>“</w:t>
      </w:r>
      <w:r w:rsidR="00D64ED8" w:rsidRPr="00BE10AE">
        <w:rPr>
          <w:rFonts w:ascii="Garamond" w:hAnsi="Garamond"/>
          <w:sz w:val="26"/>
          <w:szCs w:val="26"/>
        </w:rPr>
        <w:t>play a useful part</w:t>
      </w:r>
      <w:r w:rsidR="00345E47" w:rsidRPr="00BE10AE">
        <w:rPr>
          <w:rFonts w:ascii="Garamond" w:hAnsi="Garamond"/>
          <w:sz w:val="26"/>
          <w:szCs w:val="26"/>
        </w:rPr>
        <w:t>”</w:t>
      </w:r>
      <w:r w:rsidR="00D64ED8" w:rsidRPr="00BE10AE">
        <w:rPr>
          <w:rFonts w:ascii="Garamond" w:hAnsi="Garamond"/>
          <w:sz w:val="26"/>
          <w:szCs w:val="26"/>
        </w:rPr>
        <w:t xml:space="preserve"> in plea bargaining, the judge here overstepped and </w:t>
      </w:r>
      <w:r w:rsidR="00345E47" w:rsidRPr="00BE10AE">
        <w:rPr>
          <w:rFonts w:ascii="Garamond" w:hAnsi="Garamond"/>
          <w:sz w:val="26"/>
          <w:szCs w:val="26"/>
        </w:rPr>
        <w:t>“</w:t>
      </w:r>
      <w:r w:rsidR="00D64ED8" w:rsidRPr="00BE10AE">
        <w:rPr>
          <w:rFonts w:ascii="Garamond" w:hAnsi="Garamond"/>
          <w:sz w:val="26"/>
          <w:szCs w:val="26"/>
        </w:rPr>
        <w:t>overcame appellant</w:t>
      </w:r>
      <w:r w:rsidR="00345E47" w:rsidRPr="00BE10AE">
        <w:rPr>
          <w:rFonts w:ascii="Garamond" w:hAnsi="Garamond"/>
          <w:sz w:val="26"/>
          <w:szCs w:val="26"/>
        </w:rPr>
        <w:t>’</w:t>
      </w:r>
      <w:r w:rsidR="00D64ED8" w:rsidRPr="00BE10AE">
        <w:rPr>
          <w:rFonts w:ascii="Garamond" w:hAnsi="Garamond"/>
          <w:sz w:val="26"/>
          <w:szCs w:val="26"/>
        </w:rPr>
        <w:t>s free judgment.</w:t>
      </w:r>
      <w:r w:rsidR="00345E47" w:rsidRPr="00BE10AE">
        <w:rPr>
          <w:rFonts w:ascii="Garamond" w:hAnsi="Garamond"/>
          <w:sz w:val="26"/>
          <w:szCs w:val="26"/>
        </w:rPr>
        <w:t>”</w:t>
      </w:r>
      <w:r w:rsidR="00A74D92" w:rsidRPr="00BE10AE">
        <w:rPr>
          <w:rFonts w:ascii="Garamond" w:hAnsi="Garamond"/>
          <w:sz w:val="26"/>
          <w:szCs w:val="26"/>
        </w:rPr>
        <w:t xml:space="preserve"> </w:t>
      </w:r>
      <w:r w:rsidR="003E2A77" w:rsidRPr="00BE10AE">
        <w:rPr>
          <w:rFonts w:ascii="Garamond" w:hAnsi="Garamond"/>
          <w:sz w:val="26"/>
          <w:szCs w:val="26"/>
        </w:rPr>
        <w:t>(</w:t>
      </w:r>
      <w:r w:rsidR="003E2A77" w:rsidRPr="00BE10AE">
        <w:rPr>
          <w:rFonts w:ascii="Garamond" w:hAnsi="Garamond"/>
          <w:i/>
          <w:iCs/>
          <w:sz w:val="26"/>
          <w:szCs w:val="26"/>
        </w:rPr>
        <w:t>Id</w:t>
      </w:r>
      <w:r w:rsidR="003E2A77" w:rsidRPr="00BE10AE">
        <w:rPr>
          <w:rFonts w:ascii="Garamond" w:hAnsi="Garamond"/>
          <w:sz w:val="26"/>
          <w:szCs w:val="26"/>
        </w:rPr>
        <w:t>. at p. 150.)</w:t>
      </w:r>
    </w:p>
    <w:p w14:paraId="5AAF068D" w14:textId="16A7AC0B" w:rsidR="00A84200" w:rsidRPr="00BE10AE" w:rsidRDefault="00B71AF1" w:rsidP="00A74D92">
      <w:pPr>
        <w:spacing w:line="360" w:lineRule="auto"/>
        <w:ind w:firstLine="360"/>
        <w:contextualSpacing/>
        <w:rPr>
          <w:rFonts w:ascii="Garamond" w:hAnsi="Garamond"/>
          <w:sz w:val="26"/>
          <w:szCs w:val="26"/>
          <w:shd w:val="clear" w:color="auto" w:fill="FBFBFB"/>
        </w:rPr>
      </w:pPr>
      <w:r w:rsidRPr="00BE10AE">
        <w:rPr>
          <w:rFonts w:ascii="Garamond" w:hAnsi="Garamond"/>
          <w:sz w:val="26"/>
          <w:szCs w:val="26"/>
          <w:shd w:val="clear" w:color="auto" w:fill="FBFBFB"/>
        </w:rPr>
        <w:t>As a general matter, c</w:t>
      </w:r>
      <w:r w:rsidR="00706EE2" w:rsidRPr="00BE10AE">
        <w:rPr>
          <w:rFonts w:ascii="Garamond" w:hAnsi="Garamond"/>
          <w:sz w:val="26"/>
          <w:szCs w:val="26"/>
          <w:shd w:val="clear" w:color="auto" w:fill="FBFBFB"/>
        </w:rPr>
        <w:t>riminal defendants have</w:t>
      </w:r>
      <w:r w:rsidR="00DA5EBD" w:rsidRPr="00BE10AE">
        <w:rPr>
          <w:rFonts w:ascii="Garamond" w:hAnsi="Garamond"/>
          <w:sz w:val="26"/>
          <w:szCs w:val="26"/>
          <w:shd w:val="clear" w:color="auto" w:fill="FBFBFB"/>
        </w:rPr>
        <w:t xml:space="preserve"> a federal and state constitutional right to be free of duress when pleading to a criminal charge.  (U.S. Const., 5th, 6th, 14th Amends.; </w:t>
      </w:r>
      <w:r w:rsidR="00DA5EBD" w:rsidRPr="00BE10AE">
        <w:rPr>
          <w:rFonts w:ascii="Garamond" w:hAnsi="Garamond"/>
          <w:i/>
          <w:iCs/>
          <w:sz w:val="26"/>
          <w:szCs w:val="26"/>
          <w:shd w:val="clear" w:color="auto" w:fill="FBFBFB"/>
        </w:rPr>
        <w:t>Johnson v. Zerbst</w:t>
      </w:r>
      <w:r w:rsidR="00DA5EBD" w:rsidRPr="00BE10AE">
        <w:rPr>
          <w:rFonts w:ascii="Garamond" w:hAnsi="Garamond"/>
          <w:sz w:val="26"/>
          <w:szCs w:val="26"/>
          <w:shd w:val="clear" w:color="auto" w:fill="FBFBFB"/>
        </w:rPr>
        <w:t xml:space="preserve"> (1938) 304 U.S. 458, 464; Cal. Const., art. I, § 15; </w:t>
      </w:r>
      <w:r w:rsidR="00DA5EBD" w:rsidRPr="00BE10AE">
        <w:rPr>
          <w:rFonts w:ascii="Garamond" w:hAnsi="Garamond"/>
          <w:i/>
          <w:iCs/>
          <w:sz w:val="26"/>
          <w:szCs w:val="26"/>
          <w:shd w:val="clear" w:color="auto" w:fill="FBFBFB"/>
        </w:rPr>
        <w:t>People v. Williams</w:t>
      </w:r>
      <w:r w:rsidR="00DA5EBD" w:rsidRPr="00BE10AE">
        <w:rPr>
          <w:rFonts w:ascii="Garamond" w:hAnsi="Garamond"/>
          <w:sz w:val="26"/>
          <w:szCs w:val="26"/>
          <w:shd w:val="clear" w:color="auto" w:fill="FBFBFB"/>
        </w:rPr>
        <w:t xml:space="preserve"> (1969) 269 Cal.App.2d 879, 885-886.) </w:t>
      </w:r>
      <w:r w:rsidR="0024632B" w:rsidRPr="00BE10AE">
        <w:rPr>
          <w:rFonts w:ascii="Garamond" w:hAnsi="Garamond"/>
          <w:sz w:val="26"/>
          <w:szCs w:val="26"/>
        </w:rPr>
        <w:t>And</w:t>
      </w:r>
      <w:r w:rsidR="00DA5EBD" w:rsidRPr="00BE10AE">
        <w:rPr>
          <w:rFonts w:ascii="Garamond" w:hAnsi="Garamond"/>
          <w:sz w:val="26"/>
          <w:szCs w:val="26"/>
        </w:rPr>
        <w:t xml:space="preserve"> </w:t>
      </w:r>
      <w:r w:rsidR="00345E47" w:rsidRPr="00BE10AE">
        <w:rPr>
          <w:rFonts w:ascii="Garamond" w:hAnsi="Garamond"/>
          <w:sz w:val="26"/>
          <w:szCs w:val="26"/>
        </w:rPr>
        <w:t>“</w:t>
      </w:r>
      <w:r w:rsidR="00DA5EBD" w:rsidRPr="00BE10AE">
        <w:rPr>
          <w:rFonts w:ascii="Garamond" w:hAnsi="Garamond"/>
          <w:sz w:val="26"/>
          <w:szCs w:val="26"/>
        </w:rPr>
        <w:t xml:space="preserve">guilty pleas obtained through </w:t>
      </w:r>
      <w:r w:rsidR="00345E47" w:rsidRPr="00BE10AE">
        <w:rPr>
          <w:rFonts w:ascii="Garamond" w:hAnsi="Garamond"/>
          <w:sz w:val="26"/>
          <w:szCs w:val="26"/>
        </w:rPr>
        <w:t>‘</w:t>
      </w:r>
      <w:r w:rsidR="00DA5EBD" w:rsidRPr="00BE10AE">
        <w:rPr>
          <w:rFonts w:ascii="Garamond" w:hAnsi="Garamond"/>
          <w:sz w:val="26"/>
          <w:szCs w:val="26"/>
        </w:rPr>
        <w:t>coercion, terror, inducements, subtle or blatant threats</w:t>
      </w:r>
      <w:r w:rsidR="00345E47" w:rsidRPr="00BE10AE">
        <w:rPr>
          <w:rFonts w:ascii="Garamond" w:hAnsi="Garamond"/>
          <w:sz w:val="26"/>
          <w:szCs w:val="26"/>
        </w:rPr>
        <w:t>’</w:t>
      </w:r>
      <w:r w:rsidR="00DA5EBD" w:rsidRPr="00BE10AE">
        <w:rPr>
          <w:rFonts w:ascii="Garamond" w:hAnsi="Garamond"/>
          <w:sz w:val="26"/>
          <w:szCs w:val="26"/>
        </w:rPr>
        <w:t xml:space="preserve"> are involuntary and violative of due process.</w:t>
      </w:r>
      <w:r w:rsidR="00345E47" w:rsidRPr="00BE10AE">
        <w:rPr>
          <w:rFonts w:ascii="Garamond" w:hAnsi="Garamond"/>
          <w:sz w:val="26"/>
          <w:szCs w:val="26"/>
        </w:rPr>
        <w:t>”</w:t>
      </w:r>
      <w:r w:rsidR="00DA5EBD" w:rsidRPr="00BE10AE">
        <w:rPr>
          <w:rFonts w:ascii="Garamond" w:hAnsi="Garamond"/>
          <w:sz w:val="26"/>
          <w:szCs w:val="26"/>
        </w:rPr>
        <w:t xml:space="preserve"> (</w:t>
      </w:r>
      <w:r w:rsidR="00DA5EBD" w:rsidRPr="00BE10AE">
        <w:rPr>
          <w:rFonts w:ascii="Garamond" w:hAnsi="Garamond"/>
          <w:i/>
          <w:iCs/>
          <w:sz w:val="26"/>
          <w:szCs w:val="26"/>
          <w:shd w:val="clear" w:color="auto" w:fill="FBFBFB"/>
        </w:rPr>
        <w:t xml:space="preserve">People v. Sandoval </w:t>
      </w:r>
      <w:r w:rsidR="00DA5EBD" w:rsidRPr="00BE10AE">
        <w:rPr>
          <w:rFonts w:ascii="Garamond" w:hAnsi="Garamond"/>
          <w:sz w:val="26"/>
          <w:szCs w:val="26"/>
          <w:shd w:val="clear" w:color="auto" w:fill="FBFBFB"/>
        </w:rPr>
        <w:t>(2006) 140 Cal.App.4th 111, 124.)</w:t>
      </w:r>
      <w:r w:rsidR="0024632B" w:rsidRPr="00BE10AE">
        <w:rPr>
          <w:rFonts w:ascii="Garamond" w:hAnsi="Garamond"/>
          <w:sz w:val="26"/>
          <w:szCs w:val="26"/>
        </w:rPr>
        <w:t xml:space="preserve"> So while </w:t>
      </w:r>
      <w:r w:rsidR="00345E47" w:rsidRPr="00BE10AE">
        <w:rPr>
          <w:rFonts w:ascii="Garamond" w:hAnsi="Garamond"/>
          <w:sz w:val="26"/>
          <w:szCs w:val="26"/>
        </w:rPr>
        <w:t>“</w:t>
      </w:r>
      <w:r w:rsidR="00705D6C" w:rsidRPr="00BE10AE">
        <w:rPr>
          <w:rFonts w:ascii="Garamond" w:hAnsi="Garamond"/>
          <w:sz w:val="26"/>
          <w:szCs w:val="26"/>
        </w:rPr>
        <w:t>[t]</w:t>
      </w:r>
      <w:r w:rsidR="0024632B" w:rsidRPr="00BE10AE">
        <w:rPr>
          <w:rFonts w:ascii="Garamond" w:hAnsi="Garamond"/>
          <w:sz w:val="26"/>
          <w:szCs w:val="26"/>
        </w:rPr>
        <w:t>here is no rule in California forbidding judicial involvement in plea negotiations</w:t>
      </w:r>
      <w:r w:rsidR="00705D6C" w:rsidRPr="00BE10AE">
        <w:rPr>
          <w:rFonts w:ascii="Garamond" w:hAnsi="Garamond"/>
          <w:sz w:val="26"/>
          <w:szCs w:val="26"/>
        </w:rPr>
        <w:t xml:space="preserve"> . . . </w:t>
      </w:r>
      <w:r w:rsidR="0024632B" w:rsidRPr="00BE10AE">
        <w:rPr>
          <w:rFonts w:ascii="Garamond" w:hAnsi="Garamond"/>
          <w:sz w:val="26"/>
          <w:szCs w:val="26"/>
        </w:rPr>
        <w:t>courts have expressed strong reservation about the practice.</w:t>
      </w:r>
      <w:r w:rsidR="00345E47" w:rsidRPr="00BE10AE">
        <w:rPr>
          <w:rFonts w:ascii="Garamond" w:hAnsi="Garamond"/>
          <w:sz w:val="26"/>
          <w:szCs w:val="26"/>
        </w:rPr>
        <w:t>”</w:t>
      </w:r>
      <w:r w:rsidR="0024632B" w:rsidRPr="00BE10AE">
        <w:rPr>
          <w:rFonts w:ascii="Garamond" w:hAnsi="Garamond"/>
          <w:sz w:val="26"/>
          <w:szCs w:val="26"/>
        </w:rPr>
        <w:t xml:space="preserve"> (</w:t>
      </w:r>
      <w:r w:rsidR="0024632B" w:rsidRPr="00BE10AE">
        <w:rPr>
          <w:rFonts w:ascii="Garamond" w:hAnsi="Garamond"/>
          <w:i/>
          <w:iCs/>
          <w:sz w:val="26"/>
          <w:szCs w:val="26"/>
        </w:rPr>
        <w:t>Weaver</w:t>
      </w:r>
      <w:r w:rsidR="0024632B" w:rsidRPr="00BE10AE">
        <w:rPr>
          <w:rFonts w:ascii="Garamond" w:hAnsi="Garamond"/>
          <w:sz w:val="26"/>
          <w:szCs w:val="26"/>
        </w:rPr>
        <w:t xml:space="preserve">, </w:t>
      </w:r>
      <w:r w:rsidR="0024632B" w:rsidRPr="00BE10AE">
        <w:rPr>
          <w:rFonts w:ascii="Garamond" w:hAnsi="Garamond"/>
          <w:i/>
          <w:iCs/>
          <w:sz w:val="26"/>
          <w:szCs w:val="26"/>
        </w:rPr>
        <w:t>supra</w:t>
      </w:r>
      <w:r w:rsidR="0024632B" w:rsidRPr="00BE10AE">
        <w:rPr>
          <w:rFonts w:ascii="Garamond" w:hAnsi="Garamond"/>
          <w:sz w:val="26"/>
          <w:szCs w:val="26"/>
        </w:rPr>
        <w:t>, 118 Cal.App.4th at p. 148.)</w:t>
      </w:r>
    </w:p>
    <w:p w14:paraId="53ADF6D1" w14:textId="583706C4" w:rsidR="00A50C74" w:rsidRPr="00BE10AE" w:rsidRDefault="00062E0C" w:rsidP="00A74D92">
      <w:pPr>
        <w:spacing w:line="360" w:lineRule="auto"/>
        <w:ind w:firstLine="360"/>
        <w:contextualSpacing/>
        <w:rPr>
          <w:rFonts w:ascii="Garamond" w:hAnsi="Garamond"/>
          <w:sz w:val="26"/>
          <w:szCs w:val="26"/>
        </w:rPr>
      </w:pPr>
      <w:r w:rsidRPr="00BE10AE">
        <w:rPr>
          <w:rFonts w:ascii="Garamond" w:hAnsi="Garamond"/>
          <w:sz w:val="26"/>
          <w:szCs w:val="26"/>
        </w:rPr>
        <w:t xml:space="preserve">The </w:t>
      </w:r>
      <w:r w:rsidRPr="00BE10AE">
        <w:rPr>
          <w:rFonts w:ascii="Garamond" w:hAnsi="Garamond"/>
          <w:i/>
          <w:iCs/>
          <w:sz w:val="26"/>
          <w:szCs w:val="26"/>
        </w:rPr>
        <w:t>Weaver</w:t>
      </w:r>
      <w:r w:rsidRPr="00BE10AE">
        <w:rPr>
          <w:rFonts w:ascii="Garamond" w:hAnsi="Garamond"/>
          <w:sz w:val="26"/>
          <w:szCs w:val="26"/>
        </w:rPr>
        <w:t xml:space="preserve"> court </w:t>
      </w:r>
      <w:r w:rsidR="00705D6C" w:rsidRPr="00BE10AE">
        <w:rPr>
          <w:rFonts w:ascii="Garamond" w:hAnsi="Garamond"/>
          <w:sz w:val="26"/>
          <w:szCs w:val="26"/>
        </w:rPr>
        <w:t>gave</w:t>
      </w:r>
      <w:r w:rsidR="00A84200" w:rsidRPr="00BE10AE">
        <w:rPr>
          <w:rFonts w:ascii="Garamond" w:hAnsi="Garamond"/>
          <w:sz w:val="26"/>
          <w:szCs w:val="26"/>
        </w:rPr>
        <w:t xml:space="preserve"> three reasons for judges to stay out of plea negotiations: Firs</w:t>
      </w:r>
      <w:r w:rsidR="008D00C8" w:rsidRPr="00BE10AE">
        <w:rPr>
          <w:rFonts w:ascii="Garamond" w:hAnsi="Garamond"/>
          <w:sz w:val="26"/>
          <w:szCs w:val="26"/>
        </w:rPr>
        <w:t xml:space="preserve">t, </w:t>
      </w:r>
      <w:r w:rsidR="004408F1" w:rsidRPr="00BE10AE">
        <w:rPr>
          <w:rFonts w:ascii="Garamond" w:hAnsi="Garamond"/>
          <w:sz w:val="26"/>
          <w:szCs w:val="26"/>
        </w:rPr>
        <w:t>a judge</w:t>
      </w:r>
      <w:r w:rsidR="00DB29E6" w:rsidRPr="00BE10AE">
        <w:rPr>
          <w:rFonts w:ascii="Garamond" w:hAnsi="Garamond"/>
          <w:sz w:val="26"/>
          <w:szCs w:val="26"/>
        </w:rPr>
        <w:t xml:space="preserve">’s mere involvement in </w:t>
      </w:r>
      <w:r w:rsidR="004E087D" w:rsidRPr="00BE10AE">
        <w:rPr>
          <w:rFonts w:ascii="Garamond" w:hAnsi="Garamond"/>
          <w:sz w:val="26"/>
          <w:szCs w:val="26"/>
        </w:rPr>
        <w:t>plea negotiations heightens the risk of coercion</w:t>
      </w:r>
      <w:r w:rsidR="004408F1" w:rsidRPr="00BE10AE">
        <w:rPr>
          <w:rFonts w:ascii="Garamond" w:hAnsi="Garamond"/>
          <w:sz w:val="26"/>
          <w:szCs w:val="26"/>
        </w:rPr>
        <w:t xml:space="preserve">. Second, </w:t>
      </w:r>
      <w:r w:rsidR="00A04823" w:rsidRPr="00BE10AE">
        <w:rPr>
          <w:rFonts w:ascii="Garamond" w:hAnsi="Garamond"/>
          <w:sz w:val="26"/>
          <w:szCs w:val="26"/>
        </w:rPr>
        <w:t>a</w:t>
      </w:r>
      <w:r w:rsidR="004408F1" w:rsidRPr="00BE10AE">
        <w:rPr>
          <w:rFonts w:ascii="Garamond" w:hAnsi="Garamond"/>
          <w:sz w:val="26"/>
          <w:szCs w:val="26"/>
        </w:rPr>
        <w:t xml:space="preserve"> judge</w:t>
      </w:r>
      <w:r w:rsidR="00844E68" w:rsidRPr="00BE10AE">
        <w:rPr>
          <w:rFonts w:ascii="Garamond" w:hAnsi="Garamond"/>
          <w:sz w:val="26"/>
          <w:szCs w:val="26"/>
        </w:rPr>
        <w:t xml:space="preserve"> who gets too involved in plea negotiations </w:t>
      </w:r>
      <w:r w:rsidR="004408F1" w:rsidRPr="00BE10AE">
        <w:rPr>
          <w:rFonts w:ascii="Garamond" w:hAnsi="Garamond"/>
          <w:sz w:val="26"/>
          <w:szCs w:val="26"/>
        </w:rPr>
        <w:t xml:space="preserve">may </w:t>
      </w:r>
      <w:r w:rsidR="0037256D" w:rsidRPr="00BE10AE">
        <w:rPr>
          <w:rFonts w:ascii="Garamond" w:hAnsi="Garamond"/>
          <w:sz w:val="26"/>
          <w:szCs w:val="26"/>
        </w:rPr>
        <w:t xml:space="preserve">take it personally </w:t>
      </w:r>
      <w:r w:rsidR="004408F1" w:rsidRPr="00BE10AE">
        <w:rPr>
          <w:rFonts w:ascii="Garamond" w:hAnsi="Garamond"/>
          <w:sz w:val="26"/>
          <w:szCs w:val="26"/>
        </w:rPr>
        <w:t xml:space="preserve">if the plea is rejected. And third, </w:t>
      </w:r>
      <w:r w:rsidR="00784120" w:rsidRPr="00BE10AE">
        <w:rPr>
          <w:rFonts w:ascii="Garamond" w:hAnsi="Garamond"/>
          <w:sz w:val="26"/>
          <w:szCs w:val="26"/>
        </w:rPr>
        <w:t xml:space="preserve">a </w:t>
      </w:r>
      <w:r w:rsidR="00F9530D" w:rsidRPr="00BE10AE">
        <w:rPr>
          <w:rFonts w:ascii="Garamond" w:hAnsi="Garamond"/>
          <w:sz w:val="26"/>
          <w:szCs w:val="26"/>
        </w:rPr>
        <w:t>judge’s involvement</w:t>
      </w:r>
      <w:r w:rsidR="00956058" w:rsidRPr="00BE10AE">
        <w:rPr>
          <w:rFonts w:ascii="Garamond" w:hAnsi="Garamond"/>
          <w:sz w:val="26"/>
          <w:szCs w:val="26"/>
        </w:rPr>
        <w:t xml:space="preserve"> i</w:t>
      </w:r>
      <w:r w:rsidR="00784120" w:rsidRPr="00BE10AE">
        <w:rPr>
          <w:rFonts w:ascii="Garamond" w:hAnsi="Garamond"/>
          <w:sz w:val="26"/>
          <w:szCs w:val="26"/>
        </w:rPr>
        <w:t xml:space="preserve">n plea negotiations </w:t>
      </w:r>
      <w:r w:rsidR="00F9530D" w:rsidRPr="00BE10AE">
        <w:rPr>
          <w:rFonts w:ascii="Garamond" w:hAnsi="Garamond"/>
          <w:sz w:val="26"/>
          <w:szCs w:val="26"/>
        </w:rPr>
        <w:t>may</w:t>
      </w:r>
      <w:r w:rsidR="00784120" w:rsidRPr="00BE10AE">
        <w:rPr>
          <w:rFonts w:ascii="Garamond" w:hAnsi="Garamond"/>
          <w:sz w:val="26"/>
          <w:szCs w:val="26"/>
        </w:rPr>
        <w:t xml:space="preserve"> </w:t>
      </w:r>
      <w:r w:rsidR="00BB3DA7" w:rsidRPr="00BE10AE">
        <w:rPr>
          <w:rFonts w:ascii="Garamond" w:hAnsi="Garamond"/>
          <w:sz w:val="26"/>
          <w:szCs w:val="26"/>
        </w:rPr>
        <w:t xml:space="preserve">sow </w:t>
      </w:r>
      <w:r w:rsidR="00784120" w:rsidRPr="00BE10AE">
        <w:rPr>
          <w:rFonts w:ascii="Garamond" w:hAnsi="Garamond"/>
          <w:sz w:val="26"/>
          <w:szCs w:val="26"/>
        </w:rPr>
        <w:t>confusion about the judge</w:t>
      </w:r>
      <w:r w:rsidR="00345E47" w:rsidRPr="00BE10AE">
        <w:rPr>
          <w:rFonts w:ascii="Garamond" w:hAnsi="Garamond"/>
          <w:sz w:val="26"/>
          <w:szCs w:val="26"/>
        </w:rPr>
        <w:t>’</w:t>
      </w:r>
      <w:r w:rsidR="00784120" w:rsidRPr="00BE10AE">
        <w:rPr>
          <w:rFonts w:ascii="Garamond" w:hAnsi="Garamond"/>
          <w:sz w:val="26"/>
          <w:szCs w:val="26"/>
        </w:rPr>
        <w:t xml:space="preserve">s </w:t>
      </w:r>
      <w:r w:rsidR="00F9530D" w:rsidRPr="00BE10AE">
        <w:rPr>
          <w:rFonts w:ascii="Garamond" w:hAnsi="Garamond"/>
          <w:sz w:val="26"/>
          <w:szCs w:val="26"/>
        </w:rPr>
        <w:t xml:space="preserve">true </w:t>
      </w:r>
      <w:r w:rsidR="00784120" w:rsidRPr="00BE10AE">
        <w:rPr>
          <w:rFonts w:ascii="Garamond" w:hAnsi="Garamond"/>
          <w:sz w:val="26"/>
          <w:szCs w:val="26"/>
        </w:rPr>
        <w:t xml:space="preserve">role as a neutral arbiter, not </w:t>
      </w:r>
      <w:r w:rsidR="00956058" w:rsidRPr="00BE10AE">
        <w:rPr>
          <w:rFonts w:ascii="Garamond" w:hAnsi="Garamond"/>
          <w:sz w:val="26"/>
          <w:szCs w:val="26"/>
        </w:rPr>
        <w:t xml:space="preserve">as </w:t>
      </w:r>
      <w:r w:rsidR="00784120" w:rsidRPr="00BE10AE">
        <w:rPr>
          <w:rFonts w:ascii="Garamond" w:hAnsi="Garamond"/>
          <w:sz w:val="26"/>
          <w:szCs w:val="26"/>
        </w:rPr>
        <w:t>an advocate for either side. (</w:t>
      </w:r>
      <w:r w:rsidR="00784120" w:rsidRPr="00BE10AE">
        <w:rPr>
          <w:rFonts w:ascii="Garamond" w:hAnsi="Garamond"/>
          <w:i/>
          <w:iCs/>
          <w:sz w:val="26"/>
          <w:szCs w:val="26"/>
        </w:rPr>
        <w:t>Weaver</w:t>
      </w:r>
      <w:r w:rsidR="00784120" w:rsidRPr="00BE10AE">
        <w:rPr>
          <w:rFonts w:ascii="Garamond" w:hAnsi="Garamond"/>
          <w:sz w:val="26"/>
          <w:szCs w:val="26"/>
        </w:rPr>
        <w:t xml:space="preserve">, </w:t>
      </w:r>
      <w:r w:rsidR="00784120" w:rsidRPr="00BE10AE">
        <w:rPr>
          <w:rFonts w:ascii="Garamond" w:hAnsi="Garamond"/>
          <w:i/>
          <w:iCs/>
          <w:sz w:val="26"/>
          <w:szCs w:val="26"/>
        </w:rPr>
        <w:t>supra</w:t>
      </w:r>
      <w:r w:rsidR="00784120" w:rsidRPr="00BE10AE">
        <w:rPr>
          <w:rFonts w:ascii="Garamond" w:hAnsi="Garamond"/>
          <w:sz w:val="26"/>
          <w:szCs w:val="26"/>
        </w:rPr>
        <w:t>,</w:t>
      </w:r>
      <w:r w:rsidR="00AA7306" w:rsidRPr="00BE10AE">
        <w:rPr>
          <w:rFonts w:ascii="Garamond" w:hAnsi="Garamond"/>
          <w:sz w:val="26"/>
          <w:szCs w:val="26"/>
        </w:rPr>
        <w:t xml:space="preserve"> 118 Cal.App.4th</w:t>
      </w:r>
      <w:r w:rsidR="00784120" w:rsidRPr="00BE10AE">
        <w:rPr>
          <w:rFonts w:ascii="Garamond" w:hAnsi="Garamond"/>
          <w:sz w:val="26"/>
          <w:szCs w:val="26"/>
        </w:rPr>
        <w:t xml:space="preserve"> at p. 146-1</w:t>
      </w:r>
      <w:r w:rsidR="00907D10" w:rsidRPr="00BE10AE">
        <w:rPr>
          <w:rFonts w:ascii="Garamond" w:hAnsi="Garamond"/>
          <w:sz w:val="26"/>
          <w:szCs w:val="26"/>
        </w:rPr>
        <w:t xml:space="preserve">47.) </w:t>
      </w:r>
    </w:p>
    <w:p w14:paraId="58E2DCBA" w14:textId="65D3E63A" w:rsidR="00472D90" w:rsidRPr="00BE10AE" w:rsidRDefault="00A50C74" w:rsidP="00A74D92">
      <w:pPr>
        <w:spacing w:line="360" w:lineRule="auto"/>
        <w:ind w:firstLine="360"/>
        <w:contextualSpacing/>
        <w:rPr>
          <w:rFonts w:ascii="Garamond" w:hAnsi="Garamond"/>
          <w:sz w:val="26"/>
          <w:szCs w:val="26"/>
        </w:rPr>
      </w:pPr>
      <w:r w:rsidRPr="00BE10AE">
        <w:rPr>
          <w:rFonts w:ascii="Garamond" w:hAnsi="Garamond"/>
          <w:sz w:val="26"/>
          <w:szCs w:val="26"/>
        </w:rPr>
        <w:t xml:space="preserve">All three of these are good reasons for judges to stay out of plea negotiations, but the first reason is the most significant. </w:t>
      </w:r>
      <w:r w:rsidR="00907D10" w:rsidRPr="00BE10AE">
        <w:rPr>
          <w:rFonts w:ascii="Garamond" w:hAnsi="Garamond"/>
          <w:sz w:val="26"/>
          <w:szCs w:val="26"/>
        </w:rPr>
        <w:t xml:space="preserve">When </w:t>
      </w:r>
      <w:r w:rsidR="00345E47" w:rsidRPr="00BE10AE">
        <w:rPr>
          <w:rFonts w:ascii="Garamond" w:hAnsi="Garamond"/>
          <w:sz w:val="26"/>
          <w:szCs w:val="26"/>
        </w:rPr>
        <w:t>“</w:t>
      </w:r>
      <w:r w:rsidR="00A74D92" w:rsidRPr="00BE10AE">
        <w:rPr>
          <w:rFonts w:ascii="Garamond" w:hAnsi="Garamond"/>
          <w:sz w:val="26"/>
          <w:szCs w:val="26"/>
        </w:rPr>
        <w:t>the trial court abandons its judicial role and thrusts itself into the center of the negotiation process and makes repeated comments that suggest a less-than-neutral attitude about the case or the defendant, then great pressure exists for the defendant to accede to the court</w:t>
      </w:r>
      <w:r w:rsidR="00345E47" w:rsidRPr="00BE10AE">
        <w:rPr>
          <w:rFonts w:ascii="Garamond" w:hAnsi="Garamond"/>
          <w:sz w:val="26"/>
          <w:szCs w:val="26"/>
        </w:rPr>
        <w:t>’</w:t>
      </w:r>
      <w:r w:rsidR="00A74D92" w:rsidRPr="00BE10AE">
        <w:rPr>
          <w:rFonts w:ascii="Garamond" w:hAnsi="Garamond"/>
          <w:sz w:val="26"/>
          <w:szCs w:val="26"/>
        </w:rPr>
        <w:t>s wishes.</w:t>
      </w:r>
      <w:r w:rsidR="00345E47" w:rsidRPr="00BE10AE">
        <w:rPr>
          <w:rFonts w:ascii="Garamond" w:hAnsi="Garamond"/>
          <w:sz w:val="26"/>
          <w:szCs w:val="26"/>
        </w:rPr>
        <w:t>”</w:t>
      </w:r>
      <w:r w:rsidR="00A74D92" w:rsidRPr="00BE10AE">
        <w:rPr>
          <w:rFonts w:ascii="Garamond" w:hAnsi="Garamond"/>
          <w:sz w:val="26"/>
          <w:szCs w:val="26"/>
        </w:rPr>
        <w:t xml:space="preserve">  (</w:t>
      </w:r>
      <w:r w:rsidR="006A46B2" w:rsidRPr="00BE10AE">
        <w:rPr>
          <w:rFonts w:ascii="Garamond" w:hAnsi="Garamond"/>
          <w:i/>
          <w:iCs/>
          <w:sz w:val="26"/>
          <w:szCs w:val="26"/>
        </w:rPr>
        <w:t>Weaver</w:t>
      </w:r>
      <w:r w:rsidR="006A46B2" w:rsidRPr="00BE10AE">
        <w:rPr>
          <w:rFonts w:ascii="Garamond" w:hAnsi="Garamond"/>
          <w:sz w:val="26"/>
          <w:szCs w:val="26"/>
        </w:rPr>
        <w:t xml:space="preserve">, </w:t>
      </w:r>
      <w:r w:rsidR="006A46B2" w:rsidRPr="00BE10AE">
        <w:rPr>
          <w:rFonts w:ascii="Garamond" w:hAnsi="Garamond"/>
          <w:i/>
          <w:iCs/>
          <w:sz w:val="26"/>
          <w:szCs w:val="26"/>
        </w:rPr>
        <w:t>supra</w:t>
      </w:r>
      <w:r w:rsidR="006A46B2" w:rsidRPr="00BE10AE">
        <w:rPr>
          <w:rFonts w:ascii="Garamond" w:hAnsi="Garamond"/>
          <w:sz w:val="26"/>
          <w:szCs w:val="26"/>
        </w:rPr>
        <w:t xml:space="preserve">, </w:t>
      </w:r>
      <w:r w:rsidR="00A74D92" w:rsidRPr="00BE10AE">
        <w:rPr>
          <w:rFonts w:ascii="Garamond" w:hAnsi="Garamond"/>
          <w:sz w:val="26"/>
          <w:szCs w:val="26"/>
        </w:rPr>
        <w:t>at p. 150.)  Even where a trial court means to do justice and knows what is best for the parties, it is the role of the attorneys, not the court, to advocate on behalf of the parties. (</w:t>
      </w:r>
      <w:r w:rsidR="00A74D92" w:rsidRPr="00BE10AE">
        <w:rPr>
          <w:rFonts w:ascii="Garamond" w:hAnsi="Garamond"/>
          <w:i/>
          <w:iCs/>
          <w:sz w:val="26"/>
          <w:szCs w:val="26"/>
        </w:rPr>
        <w:t>Ibid</w:t>
      </w:r>
      <w:r w:rsidR="00A74D92" w:rsidRPr="00BE10AE">
        <w:rPr>
          <w:rFonts w:ascii="Garamond" w:hAnsi="Garamond"/>
          <w:sz w:val="26"/>
          <w:szCs w:val="26"/>
        </w:rPr>
        <w:t>.)</w:t>
      </w:r>
    </w:p>
    <w:p w14:paraId="3B2E41B1" w14:textId="1860E923" w:rsidR="00EE33C1" w:rsidRPr="00BE10AE" w:rsidRDefault="00B62048" w:rsidP="00EE33C1">
      <w:pPr>
        <w:pStyle w:val="ListParagraph"/>
        <w:numPr>
          <w:ilvl w:val="1"/>
          <w:numId w:val="2"/>
        </w:numPr>
        <w:spacing w:line="360" w:lineRule="auto"/>
        <w:rPr>
          <w:rFonts w:ascii="Garamond" w:hAnsi="Garamond"/>
          <w:b/>
          <w:bCs/>
          <w:sz w:val="26"/>
          <w:szCs w:val="26"/>
        </w:rPr>
      </w:pPr>
      <w:r w:rsidRPr="00BE10AE">
        <w:rPr>
          <w:rFonts w:ascii="Garamond" w:hAnsi="Garamond"/>
          <w:b/>
          <w:bCs/>
          <w:sz w:val="26"/>
          <w:szCs w:val="26"/>
        </w:rPr>
        <w:t>But what about w</w:t>
      </w:r>
      <w:r w:rsidR="00EE33C1" w:rsidRPr="00BE10AE">
        <w:rPr>
          <w:rFonts w:ascii="Garamond" w:hAnsi="Garamond"/>
          <w:b/>
          <w:bCs/>
          <w:sz w:val="26"/>
          <w:szCs w:val="26"/>
        </w:rPr>
        <w:t xml:space="preserve">hen the pressure </w:t>
      </w:r>
      <w:r w:rsidRPr="00BE10AE">
        <w:rPr>
          <w:rFonts w:ascii="Garamond" w:hAnsi="Garamond"/>
          <w:b/>
          <w:bCs/>
          <w:sz w:val="26"/>
          <w:szCs w:val="26"/>
        </w:rPr>
        <w:t>comes</w:t>
      </w:r>
      <w:r w:rsidR="00EE33C1" w:rsidRPr="00BE10AE">
        <w:rPr>
          <w:rFonts w:ascii="Garamond" w:hAnsi="Garamond"/>
          <w:b/>
          <w:bCs/>
          <w:sz w:val="26"/>
          <w:szCs w:val="26"/>
        </w:rPr>
        <w:t xml:space="preserve"> from all sides…</w:t>
      </w:r>
    </w:p>
    <w:p w14:paraId="0EE1EF03" w14:textId="6B1CF924" w:rsidR="00753FDA" w:rsidRPr="00BE10AE" w:rsidRDefault="007A069B" w:rsidP="007C248C">
      <w:pPr>
        <w:spacing w:line="360" w:lineRule="auto"/>
        <w:ind w:firstLine="360"/>
        <w:contextualSpacing/>
        <w:rPr>
          <w:rFonts w:ascii="Garamond" w:hAnsi="Garamond"/>
          <w:sz w:val="26"/>
          <w:szCs w:val="26"/>
        </w:rPr>
      </w:pPr>
      <w:r w:rsidRPr="00BE10AE">
        <w:rPr>
          <w:rFonts w:ascii="Garamond" w:hAnsi="Garamond"/>
          <w:sz w:val="26"/>
          <w:szCs w:val="26"/>
        </w:rPr>
        <w:t xml:space="preserve">Criminal defendants </w:t>
      </w:r>
      <w:r w:rsidR="00E64C00" w:rsidRPr="00BE10AE">
        <w:rPr>
          <w:rFonts w:ascii="Garamond" w:hAnsi="Garamond"/>
          <w:sz w:val="26"/>
          <w:szCs w:val="26"/>
        </w:rPr>
        <w:t>face tremendous pressure to plead guilty</w:t>
      </w:r>
      <w:r w:rsidR="008C3D35" w:rsidRPr="00BE10AE">
        <w:rPr>
          <w:rFonts w:ascii="Garamond" w:hAnsi="Garamond"/>
          <w:sz w:val="26"/>
          <w:szCs w:val="26"/>
        </w:rPr>
        <w:t xml:space="preserve">. </w:t>
      </w:r>
      <w:r w:rsidR="002B03C3" w:rsidRPr="00BE10AE">
        <w:rPr>
          <w:rFonts w:ascii="Garamond" w:hAnsi="Garamond"/>
          <w:sz w:val="26"/>
          <w:szCs w:val="26"/>
        </w:rPr>
        <w:t xml:space="preserve">Much of the pressure stems from the </w:t>
      </w:r>
      <w:r w:rsidR="00B056D8" w:rsidRPr="00BE10AE">
        <w:rPr>
          <w:rFonts w:ascii="Garamond" w:hAnsi="Garamond"/>
          <w:sz w:val="26"/>
          <w:szCs w:val="26"/>
        </w:rPr>
        <w:t>draconian sentences</w:t>
      </w:r>
      <w:r w:rsidR="00B62048" w:rsidRPr="00BE10AE">
        <w:rPr>
          <w:rFonts w:ascii="Garamond" w:hAnsi="Garamond"/>
          <w:sz w:val="26"/>
          <w:szCs w:val="26"/>
        </w:rPr>
        <w:t xml:space="preserve"> that</w:t>
      </w:r>
      <w:r w:rsidR="00B056D8" w:rsidRPr="00BE10AE">
        <w:rPr>
          <w:rFonts w:ascii="Garamond" w:hAnsi="Garamond"/>
          <w:sz w:val="26"/>
          <w:szCs w:val="26"/>
        </w:rPr>
        <w:t xml:space="preserve"> defendants face after trial</w:t>
      </w:r>
      <w:r w:rsidR="00B62048" w:rsidRPr="00BE10AE">
        <w:rPr>
          <w:rFonts w:ascii="Garamond" w:hAnsi="Garamond"/>
          <w:sz w:val="26"/>
          <w:szCs w:val="26"/>
        </w:rPr>
        <w:t xml:space="preserve">. Courts are all too willing to accept </w:t>
      </w:r>
      <w:r w:rsidR="006B4948" w:rsidRPr="00BE10AE">
        <w:rPr>
          <w:rFonts w:ascii="Garamond" w:hAnsi="Garamond"/>
          <w:sz w:val="26"/>
          <w:szCs w:val="26"/>
        </w:rPr>
        <w:t>that kind of pressure.</w:t>
      </w:r>
      <w:r w:rsidR="00D7456F" w:rsidRPr="00BE10AE">
        <w:rPr>
          <w:rFonts w:ascii="Garamond" w:hAnsi="Garamond"/>
          <w:sz w:val="26"/>
          <w:szCs w:val="26"/>
        </w:rPr>
        <w:t xml:space="preserve"> (See </w:t>
      </w:r>
      <w:r w:rsidR="00D7456F" w:rsidRPr="00BE10AE">
        <w:rPr>
          <w:rFonts w:ascii="Garamond" w:hAnsi="Garamond"/>
          <w:i/>
          <w:iCs/>
          <w:sz w:val="26"/>
          <w:szCs w:val="26"/>
        </w:rPr>
        <w:t>In re Ibarra</w:t>
      </w:r>
      <w:r w:rsidR="00D7456F" w:rsidRPr="00BE10AE">
        <w:rPr>
          <w:rFonts w:ascii="Garamond" w:hAnsi="Garamond"/>
          <w:sz w:val="26"/>
          <w:szCs w:val="26"/>
        </w:rPr>
        <w:t xml:space="preserve"> (1983) 34 Cal.3d 277</w:t>
      </w:r>
      <w:r w:rsidR="007E1562" w:rsidRPr="00BE10AE">
        <w:rPr>
          <w:rFonts w:ascii="Garamond" w:hAnsi="Garamond"/>
          <w:sz w:val="26"/>
          <w:szCs w:val="26"/>
        </w:rPr>
        <w:t>, 287</w:t>
      </w:r>
      <w:r w:rsidR="00D7456F" w:rsidRPr="00BE10AE">
        <w:rPr>
          <w:rFonts w:ascii="Garamond" w:hAnsi="Garamond"/>
          <w:sz w:val="26"/>
          <w:szCs w:val="26"/>
        </w:rPr>
        <w:t>.)</w:t>
      </w:r>
      <w:r w:rsidR="006B4948" w:rsidRPr="00BE10AE">
        <w:rPr>
          <w:rFonts w:ascii="Garamond" w:hAnsi="Garamond"/>
          <w:sz w:val="26"/>
          <w:szCs w:val="26"/>
        </w:rPr>
        <w:t xml:space="preserve"> </w:t>
      </w:r>
      <w:r w:rsidR="00B62048" w:rsidRPr="00BE10AE">
        <w:rPr>
          <w:rFonts w:ascii="Garamond" w:hAnsi="Garamond"/>
          <w:sz w:val="26"/>
          <w:szCs w:val="26"/>
        </w:rPr>
        <w:t>B</w:t>
      </w:r>
      <w:r w:rsidR="00B056D8" w:rsidRPr="00BE10AE">
        <w:rPr>
          <w:rFonts w:ascii="Garamond" w:hAnsi="Garamond"/>
          <w:sz w:val="26"/>
          <w:szCs w:val="26"/>
        </w:rPr>
        <w:t xml:space="preserve">ut some of </w:t>
      </w:r>
      <w:r w:rsidR="00D429AD" w:rsidRPr="00BE10AE">
        <w:rPr>
          <w:rFonts w:ascii="Garamond" w:hAnsi="Garamond"/>
          <w:sz w:val="26"/>
          <w:szCs w:val="26"/>
        </w:rPr>
        <w:t>the pressure</w:t>
      </w:r>
      <w:r w:rsidR="00B056D8" w:rsidRPr="00BE10AE">
        <w:rPr>
          <w:rFonts w:ascii="Garamond" w:hAnsi="Garamond"/>
          <w:sz w:val="26"/>
          <w:szCs w:val="26"/>
        </w:rPr>
        <w:t xml:space="preserve"> comes from </w:t>
      </w:r>
      <w:r w:rsidR="00583848" w:rsidRPr="00BE10AE">
        <w:rPr>
          <w:rFonts w:ascii="Garamond" w:hAnsi="Garamond"/>
          <w:sz w:val="26"/>
          <w:szCs w:val="26"/>
        </w:rPr>
        <w:t xml:space="preserve">sources unrelated to the case. And </w:t>
      </w:r>
      <w:r w:rsidR="008C3D35" w:rsidRPr="00BE10AE">
        <w:rPr>
          <w:rFonts w:ascii="Garamond" w:hAnsi="Garamond"/>
          <w:sz w:val="26"/>
          <w:szCs w:val="26"/>
        </w:rPr>
        <w:t xml:space="preserve">judges </w:t>
      </w:r>
      <w:r w:rsidR="006B4948" w:rsidRPr="00BE10AE">
        <w:rPr>
          <w:rFonts w:ascii="Garamond" w:hAnsi="Garamond"/>
          <w:sz w:val="26"/>
          <w:szCs w:val="26"/>
        </w:rPr>
        <w:t>are not allowed to</w:t>
      </w:r>
      <w:r w:rsidR="008C3D35" w:rsidRPr="00BE10AE">
        <w:rPr>
          <w:rFonts w:ascii="Garamond" w:hAnsi="Garamond"/>
          <w:sz w:val="26"/>
          <w:szCs w:val="26"/>
        </w:rPr>
        <w:t xml:space="preserve"> exploit </w:t>
      </w:r>
      <w:r w:rsidR="00583848" w:rsidRPr="00BE10AE">
        <w:rPr>
          <w:rFonts w:ascii="Garamond" w:hAnsi="Garamond"/>
          <w:sz w:val="26"/>
          <w:szCs w:val="26"/>
        </w:rPr>
        <w:t xml:space="preserve">those extraneous considerations to </w:t>
      </w:r>
      <w:r w:rsidR="00D429AD" w:rsidRPr="00BE10AE">
        <w:rPr>
          <w:rFonts w:ascii="Garamond" w:hAnsi="Garamond"/>
          <w:sz w:val="26"/>
          <w:szCs w:val="26"/>
        </w:rPr>
        <w:t>coerce</w:t>
      </w:r>
      <w:r w:rsidR="008C3D35" w:rsidRPr="00BE10AE">
        <w:rPr>
          <w:rFonts w:ascii="Garamond" w:hAnsi="Garamond"/>
          <w:sz w:val="26"/>
          <w:szCs w:val="26"/>
        </w:rPr>
        <w:t xml:space="preserve"> criminal defendants </w:t>
      </w:r>
      <w:r w:rsidR="00D429AD" w:rsidRPr="00BE10AE">
        <w:rPr>
          <w:rFonts w:ascii="Garamond" w:hAnsi="Garamond"/>
          <w:sz w:val="26"/>
          <w:szCs w:val="26"/>
        </w:rPr>
        <w:t>into pleading</w:t>
      </w:r>
      <w:r w:rsidR="008C3D35" w:rsidRPr="00BE10AE">
        <w:rPr>
          <w:rFonts w:ascii="Garamond" w:hAnsi="Garamond"/>
          <w:sz w:val="26"/>
          <w:szCs w:val="26"/>
        </w:rPr>
        <w:t xml:space="preserve"> guilty. In </w:t>
      </w:r>
      <w:r w:rsidR="00976DF0" w:rsidRPr="00BE10AE">
        <w:rPr>
          <w:rFonts w:ascii="Garamond" w:hAnsi="Garamond"/>
          <w:i/>
          <w:iCs/>
          <w:sz w:val="26"/>
          <w:szCs w:val="26"/>
        </w:rPr>
        <w:t>People v. Sandoval</w:t>
      </w:r>
      <w:r w:rsidR="007C248C" w:rsidRPr="00BE10AE">
        <w:rPr>
          <w:rFonts w:ascii="Garamond" w:hAnsi="Garamond"/>
          <w:sz w:val="26"/>
          <w:szCs w:val="26"/>
        </w:rPr>
        <w:t xml:space="preserve"> (2006) 140 Cal. App. 4th 111, however, </w:t>
      </w:r>
      <w:r w:rsidR="00583848" w:rsidRPr="00BE10AE">
        <w:rPr>
          <w:rFonts w:ascii="Garamond" w:hAnsi="Garamond"/>
          <w:sz w:val="26"/>
          <w:szCs w:val="26"/>
        </w:rPr>
        <w:t>the trial judge did just that</w:t>
      </w:r>
      <w:r w:rsidRPr="00BE10AE">
        <w:rPr>
          <w:rFonts w:ascii="Garamond" w:hAnsi="Garamond"/>
          <w:sz w:val="26"/>
          <w:szCs w:val="26"/>
        </w:rPr>
        <w:t xml:space="preserve">. </w:t>
      </w:r>
    </w:p>
    <w:p w14:paraId="0BE589B4" w14:textId="3C51EC22" w:rsidR="00FD28EA" w:rsidRPr="00BE10AE" w:rsidRDefault="007A069B" w:rsidP="00420C0F">
      <w:pPr>
        <w:spacing w:line="360" w:lineRule="auto"/>
        <w:ind w:firstLine="360"/>
        <w:contextualSpacing/>
        <w:rPr>
          <w:rFonts w:ascii="Garamond" w:hAnsi="Garamond"/>
          <w:sz w:val="26"/>
          <w:szCs w:val="26"/>
        </w:rPr>
      </w:pPr>
      <w:r w:rsidRPr="00BE10AE">
        <w:rPr>
          <w:rFonts w:ascii="Garamond" w:hAnsi="Garamond"/>
          <w:sz w:val="26"/>
          <w:szCs w:val="26"/>
        </w:rPr>
        <w:t xml:space="preserve">Sandoval was facing homicide charges, and the prosecution had offered a package-deal plea </w:t>
      </w:r>
      <w:r w:rsidR="00E80BB3" w:rsidRPr="00BE10AE">
        <w:rPr>
          <w:rFonts w:ascii="Garamond" w:hAnsi="Garamond"/>
          <w:sz w:val="26"/>
          <w:szCs w:val="26"/>
        </w:rPr>
        <w:t xml:space="preserve">bargain </w:t>
      </w:r>
      <w:r w:rsidRPr="00BE10AE">
        <w:rPr>
          <w:rFonts w:ascii="Garamond" w:hAnsi="Garamond"/>
          <w:sz w:val="26"/>
          <w:szCs w:val="26"/>
        </w:rPr>
        <w:t xml:space="preserve">to him and his three co-defendants. </w:t>
      </w:r>
      <w:r w:rsidR="00E81795" w:rsidRPr="00BE10AE">
        <w:rPr>
          <w:rFonts w:ascii="Garamond" w:hAnsi="Garamond"/>
          <w:sz w:val="26"/>
          <w:szCs w:val="26"/>
        </w:rPr>
        <w:t>(</w:t>
      </w:r>
      <w:r w:rsidR="00E81795" w:rsidRPr="00BE10AE">
        <w:rPr>
          <w:rFonts w:ascii="Garamond" w:hAnsi="Garamond"/>
          <w:i/>
          <w:iCs/>
          <w:sz w:val="26"/>
          <w:szCs w:val="26"/>
        </w:rPr>
        <w:t>Sandoval</w:t>
      </w:r>
      <w:r w:rsidR="00E81795" w:rsidRPr="00BE10AE">
        <w:rPr>
          <w:rFonts w:ascii="Garamond" w:hAnsi="Garamond"/>
          <w:sz w:val="26"/>
          <w:szCs w:val="26"/>
        </w:rPr>
        <w:t xml:space="preserve">, </w:t>
      </w:r>
      <w:r w:rsidR="00E81795" w:rsidRPr="00BE10AE">
        <w:rPr>
          <w:rFonts w:ascii="Garamond" w:hAnsi="Garamond"/>
          <w:i/>
          <w:iCs/>
          <w:sz w:val="26"/>
          <w:szCs w:val="26"/>
        </w:rPr>
        <w:t>supra</w:t>
      </w:r>
      <w:r w:rsidR="00E81795" w:rsidRPr="00BE10AE">
        <w:rPr>
          <w:rFonts w:ascii="Garamond" w:hAnsi="Garamond"/>
          <w:sz w:val="26"/>
          <w:szCs w:val="26"/>
        </w:rPr>
        <w:t>, 140 Cal.App.4th at p</w:t>
      </w:r>
      <w:r w:rsidR="00684493" w:rsidRPr="00BE10AE">
        <w:rPr>
          <w:rFonts w:ascii="Garamond" w:hAnsi="Garamond"/>
          <w:sz w:val="26"/>
          <w:szCs w:val="26"/>
        </w:rPr>
        <w:t>p</w:t>
      </w:r>
      <w:r w:rsidR="00E81795" w:rsidRPr="00BE10AE">
        <w:rPr>
          <w:rFonts w:ascii="Garamond" w:hAnsi="Garamond"/>
          <w:sz w:val="26"/>
          <w:szCs w:val="26"/>
        </w:rPr>
        <w:t xml:space="preserve">. </w:t>
      </w:r>
      <w:r w:rsidR="00684493" w:rsidRPr="00BE10AE">
        <w:rPr>
          <w:rFonts w:ascii="Garamond" w:hAnsi="Garamond"/>
          <w:sz w:val="26"/>
          <w:szCs w:val="26"/>
        </w:rPr>
        <w:t>116-</w:t>
      </w:r>
      <w:r w:rsidR="00E81795" w:rsidRPr="00BE10AE">
        <w:rPr>
          <w:rFonts w:ascii="Garamond" w:hAnsi="Garamond"/>
          <w:sz w:val="26"/>
          <w:szCs w:val="26"/>
        </w:rPr>
        <w:t xml:space="preserve">117.) </w:t>
      </w:r>
      <w:r w:rsidR="00E80BB3" w:rsidRPr="00BE10AE">
        <w:rPr>
          <w:rFonts w:ascii="Garamond" w:hAnsi="Garamond"/>
          <w:sz w:val="26"/>
          <w:szCs w:val="26"/>
        </w:rPr>
        <w:t>Under the terms of the deal, t</w:t>
      </w:r>
      <w:r w:rsidRPr="00BE10AE">
        <w:rPr>
          <w:rFonts w:ascii="Garamond" w:hAnsi="Garamond"/>
          <w:sz w:val="26"/>
          <w:szCs w:val="26"/>
        </w:rPr>
        <w:t>wo of the co-defendants would have received 16 years in prison (</w:t>
      </w:r>
      <w:r w:rsidR="00AA2940" w:rsidRPr="00BE10AE">
        <w:rPr>
          <w:rFonts w:ascii="Garamond" w:hAnsi="Garamond"/>
          <w:sz w:val="26"/>
          <w:szCs w:val="26"/>
        </w:rPr>
        <w:t>they were</w:t>
      </w:r>
      <w:r w:rsidRPr="00BE10AE">
        <w:rPr>
          <w:rFonts w:ascii="Garamond" w:hAnsi="Garamond"/>
          <w:sz w:val="26"/>
          <w:szCs w:val="26"/>
        </w:rPr>
        <w:t xml:space="preserve"> facing 71 </w:t>
      </w:r>
      <w:r w:rsidR="00AA2940" w:rsidRPr="00BE10AE">
        <w:rPr>
          <w:rFonts w:ascii="Garamond" w:hAnsi="Garamond"/>
          <w:sz w:val="26"/>
          <w:szCs w:val="26"/>
        </w:rPr>
        <w:t xml:space="preserve">years </w:t>
      </w:r>
      <w:r w:rsidRPr="00BE10AE">
        <w:rPr>
          <w:rFonts w:ascii="Garamond" w:hAnsi="Garamond"/>
          <w:sz w:val="26"/>
          <w:szCs w:val="26"/>
        </w:rPr>
        <w:t>to life), and Sandoval and the third co-defendant would have received 27 years in prison (</w:t>
      </w:r>
      <w:r w:rsidR="00AA2940" w:rsidRPr="00BE10AE">
        <w:rPr>
          <w:rFonts w:ascii="Garamond" w:hAnsi="Garamond"/>
          <w:sz w:val="26"/>
          <w:szCs w:val="26"/>
        </w:rPr>
        <w:t>they were</w:t>
      </w:r>
      <w:r w:rsidRPr="00BE10AE">
        <w:rPr>
          <w:rFonts w:ascii="Garamond" w:hAnsi="Garamond"/>
          <w:sz w:val="26"/>
          <w:szCs w:val="26"/>
        </w:rPr>
        <w:t xml:space="preserve"> facing 110 </w:t>
      </w:r>
      <w:r w:rsidR="00AA2940" w:rsidRPr="00BE10AE">
        <w:rPr>
          <w:rFonts w:ascii="Garamond" w:hAnsi="Garamond"/>
          <w:sz w:val="26"/>
          <w:szCs w:val="26"/>
        </w:rPr>
        <w:t xml:space="preserve">years </w:t>
      </w:r>
      <w:r w:rsidRPr="00BE10AE">
        <w:rPr>
          <w:rFonts w:ascii="Garamond" w:hAnsi="Garamond"/>
          <w:sz w:val="26"/>
          <w:szCs w:val="26"/>
        </w:rPr>
        <w:t xml:space="preserve">to life). </w:t>
      </w:r>
      <w:r w:rsidR="00E81795" w:rsidRPr="00BE10AE">
        <w:rPr>
          <w:rFonts w:ascii="Garamond" w:hAnsi="Garamond"/>
          <w:sz w:val="26"/>
          <w:szCs w:val="26"/>
        </w:rPr>
        <w:t>(</w:t>
      </w:r>
      <w:r w:rsidR="00E81795" w:rsidRPr="00BE10AE">
        <w:rPr>
          <w:rFonts w:ascii="Garamond" w:hAnsi="Garamond"/>
          <w:i/>
          <w:iCs/>
          <w:sz w:val="26"/>
          <w:szCs w:val="26"/>
        </w:rPr>
        <w:t>Ibid</w:t>
      </w:r>
      <w:r w:rsidR="00E81795" w:rsidRPr="00BE10AE">
        <w:rPr>
          <w:rFonts w:ascii="Garamond" w:hAnsi="Garamond"/>
          <w:sz w:val="26"/>
          <w:szCs w:val="26"/>
        </w:rPr>
        <w:t xml:space="preserve">.) </w:t>
      </w:r>
      <w:r w:rsidRPr="00BE10AE">
        <w:rPr>
          <w:rFonts w:ascii="Garamond" w:hAnsi="Garamond"/>
          <w:sz w:val="26"/>
          <w:szCs w:val="26"/>
        </w:rPr>
        <w:t>Sandoval didn</w:t>
      </w:r>
      <w:r w:rsidR="00345E47" w:rsidRPr="00BE10AE">
        <w:rPr>
          <w:rFonts w:ascii="Garamond" w:hAnsi="Garamond"/>
          <w:sz w:val="26"/>
          <w:szCs w:val="26"/>
        </w:rPr>
        <w:t>’</w:t>
      </w:r>
      <w:r w:rsidRPr="00BE10AE">
        <w:rPr>
          <w:rFonts w:ascii="Garamond" w:hAnsi="Garamond"/>
          <w:sz w:val="26"/>
          <w:szCs w:val="26"/>
        </w:rPr>
        <w:t xml:space="preserve">t want the deal. </w:t>
      </w:r>
      <w:r w:rsidR="001F10D2" w:rsidRPr="00BE10AE">
        <w:rPr>
          <w:rFonts w:ascii="Garamond" w:hAnsi="Garamond"/>
          <w:sz w:val="26"/>
          <w:szCs w:val="26"/>
        </w:rPr>
        <w:t>(</w:t>
      </w:r>
      <w:r w:rsidR="001F10D2" w:rsidRPr="00BE10AE">
        <w:rPr>
          <w:rFonts w:ascii="Garamond" w:hAnsi="Garamond"/>
          <w:i/>
          <w:iCs/>
          <w:sz w:val="26"/>
          <w:szCs w:val="26"/>
        </w:rPr>
        <w:t>Ibid</w:t>
      </w:r>
      <w:r w:rsidR="001F10D2" w:rsidRPr="00BE10AE">
        <w:rPr>
          <w:rFonts w:ascii="Garamond" w:hAnsi="Garamond"/>
          <w:sz w:val="26"/>
          <w:szCs w:val="26"/>
        </w:rPr>
        <w:t xml:space="preserve">.) </w:t>
      </w:r>
      <w:r w:rsidRPr="00BE10AE">
        <w:rPr>
          <w:rFonts w:ascii="Garamond" w:hAnsi="Garamond"/>
          <w:sz w:val="26"/>
          <w:szCs w:val="26"/>
        </w:rPr>
        <w:t xml:space="preserve">The others did. </w:t>
      </w:r>
      <w:r w:rsidR="001F10D2" w:rsidRPr="00BE10AE">
        <w:rPr>
          <w:rFonts w:ascii="Garamond" w:hAnsi="Garamond"/>
          <w:sz w:val="26"/>
          <w:szCs w:val="26"/>
        </w:rPr>
        <w:t>(</w:t>
      </w:r>
      <w:r w:rsidR="001F10D2" w:rsidRPr="00BE10AE">
        <w:rPr>
          <w:rFonts w:ascii="Garamond" w:hAnsi="Garamond"/>
          <w:i/>
          <w:iCs/>
          <w:sz w:val="26"/>
          <w:szCs w:val="26"/>
        </w:rPr>
        <w:t>Ibid</w:t>
      </w:r>
      <w:r w:rsidR="001F10D2" w:rsidRPr="00BE10AE">
        <w:rPr>
          <w:rFonts w:ascii="Garamond" w:hAnsi="Garamond"/>
          <w:sz w:val="26"/>
          <w:szCs w:val="26"/>
        </w:rPr>
        <w:t xml:space="preserve">.) </w:t>
      </w:r>
      <w:r w:rsidRPr="00BE10AE">
        <w:rPr>
          <w:rFonts w:ascii="Garamond" w:hAnsi="Garamond"/>
          <w:sz w:val="26"/>
          <w:szCs w:val="26"/>
        </w:rPr>
        <w:t xml:space="preserve">But because Sandoval was refusing to </w:t>
      </w:r>
      <w:r w:rsidR="00AA2940" w:rsidRPr="00BE10AE">
        <w:rPr>
          <w:rFonts w:ascii="Garamond" w:hAnsi="Garamond"/>
          <w:sz w:val="26"/>
          <w:szCs w:val="26"/>
        </w:rPr>
        <w:t>accept the offer</w:t>
      </w:r>
      <w:r w:rsidRPr="00BE10AE">
        <w:rPr>
          <w:rFonts w:ascii="Garamond" w:hAnsi="Garamond"/>
          <w:sz w:val="26"/>
          <w:szCs w:val="26"/>
        </w:rPr>
        <w:t xml:space="preserve">, everyone </w:t>
      </w:r>
      <w:r w:rsidR="00F20257" w:rsidRPr="00BE10AE">
        <w:rPr>
          <w:rFonts w:ascii="Garamond" w:hAnsi="Garamond"/>
          <w:sz w:val="26"/>
          <w:szCs w:val="26"/>
        </w:rPr>
        <w:t>had to go</w:t>
      </w:r>
      <w:r w:rsidRPr="00BE10AE">
        <w:rPr>
          <w:rFonts w:ascii="Garamond" w:hAnsi="Garamond"/>
          <w:sz w:val="26"/>
          <w:szCs w:val="26"/>
        </w:rPr>
        <w:t xml:space="preserve"> to trial.</w:t>
      </w:r>
      <w:r w:rsidR="001F10D2" w:rsidRPr="00BE10AE">
        <w:rPr>
          <w:rFonts w:ascii="Garamond" w:hAnsi="Garamond"/>
          <w:sz w:val="26"/>
          <w:szCs w:val="26"/>
        </w:rPr>
        <w:t xml:space="preserve"> (</w:t>
      </w:r>
      <w:r w:rsidR="001F10D2" w:rsidRPr="00BE10AE">
        <w:rPr>
          <w:rFonts w:ascii="Garamond" w:hAnsi="Garamond"/>
          <w:i/>
          <w:iCs/>
          <w:sz w:val="26"/>
          <w:szCs w:val="26"/>
        </w:rPr>
        <w:t>Ibid</w:t>
      </w:r>
      <w:r w:rsidR="001F10D2" w:rsidRPr="00BE10AE">
        <w:rPr>
          <w:rFonts w:ascii="Garamond" w:hAnsi="Garamond"/>
          <w:sz w:val="26"/>
          <w:szCs w:val="26"/>
        </w:rPr>
        <w:t xml:space="preserve">.) </w:t>
      </w:r>
      <w:r w:rsidR="00753C34" w:rsidRPr="00BE10AE">
        <w:rPr>
          <w:rFonts w:ascii="Garamond" w:hAnsi="Garamond"/>
          <w:sz w:val="26"/>
          <w:szCs w:val="26"/>
        </w:rPr>
        <w:t xml:space="preserve"> </w:t>
      </w:r>
      <w:r w:rsidR="002F639C" w:rsidRPr="00BE10AE">
        <w:rPr>
          <w:rFonts w:ascii="Garamond" w:hAnsi="Garamond"/>
          <w:sz w:val="26"/>
          <w:szCs w:val="26"/>
        </w:rPr>
        <w:t>No one wanted this but Sandoval, so t</w:t>
      </w:r>
      <w:r w:rsidR="00753C34" w:rsidRPr="00BE10AE">
        <w:rPr>
          <w:rFonts w:ascii="Garamond" w:hAnsi="Garamond"/>
          <w:sz w:val="26"/>
          <w:szCs w:val="26"/>
        </w:rPr>
        <w:t xml:space="preserve">he plea negotiations continued </w:t>
      </w:r>
      <w:r w:rsidR="004A4C85" w:rsidRPr="00BE10AE">
        <w:rPr>
          <w:rFonts w:ascii="Garamond" w:hAnsi="Garamond"/>
          <w:sz w:val="26"/>
          <w:szCs w:val="26"/>
        </w:rPr>
        <w:t>through</w:t>
      </w:r>
      <w:r w:rsidR="00753C34" w:rsidRPr="00BE10AE">
        <w:rPr>
          <w:rFonts w:ascii="Garamond" w:hAnsi="Garamond"/>
          <w:sz w:val="26"/>
          <w:szCs w:val="26"/>
        </w:rPr>
        <w:t xml:space="preserve"> motions in limine and</w:t>
      </w:r>
      <w:r w:rsidR="004A4C85" w:rsidRPr="00BE10AE">
        <w:rPr>
          <w:rFonts w:ascii="Garamond" w:hAnsi="Garamond"/>
          <w:sz w:val="26"/>
          <w:szCs w:val="26"/>
        </w:rPr>
        <w:t xml:space="preserve"> the start of</w:t>
      </w:r>
      <w:r w:rsidR="00753C34" w:rsidRPr="00BE10AE">
        <w:rPr>
          <w:rFonts w:ascii="Garamond" w:hAnsi="Garamond"/>
          <w:sz w:val="26"/>
          <w:szCs w:val="26"/>
        </w:rPr>
        <w:t xml:space="preserve"> jury selection.</w:t>
      </w:r>
      <w:r w:rsidR="001F10D2" w:rsidRPr="00BE10AE">
        <w:rPr>
          <w:rFonts w:ascii="Garamond" w:hAnsi="Garamond"/>
          <w:sz w:val="26"/>
          <w:szCs w:val="26"/>
        </w:rPr>
        <w:t xml:space="preserve"> </w:t>
      </w:r>
      <w:r w:rsidR="00684493" w:rsidRPr="00BE10AE">
        <w:rPr>
          <w:rFonts w:ascii="Garamond" w:hAnsi="Garamond"/>
          <w:sz w:val="26"/>
          <w:szCs w:val="26"/>
        </w:rPr>
        <w:t>(</w:t>
      </w:r>
      <w:r w:rsidR="00684493" w:rsidRPr="00BE10AE">
        <w:rPr>
          <w:rFonts w:ascii="Garamond" w:hAnsi="Garamond"/>
          <w:i/>
          <w:iCs/>
          <w:sz w:val="26"/>
          <w:szCs w:val="26"/>
        </w:rPr>
        <w:t>Ibid</w:t>
      </w:r>
      <w:r w:rsidR="00684493" w:rsidRPr="00BE10AE">
        <w:rPr>
          <w:rFonts w:ascii="Garamond" w:hAnsi="Garamond"/>
          <w:sz w:val="26"/>
          <w:szCs w:val="26"/>
        </w:rPr>
        <w:t>.)</w:t>
      </w:r>
    </w:p>
    <w:p w14:paraId="59E8EDC9" w14:textId="5C6C191E" w:rsidR="00D07B4F" w:rsidRPr="00BE10AE" w:rsidRDefault="001D55CB" w:rsidP="00420C0F">
      <w:pPr>
        <w:spacing w:line="360" w:lineRule="auto"/>
        <w:ind w:firstLine="360"/>
        <w:contextualSpacing/>
        <w:rPr>
          <w:rFonts w:ascii="Garamond" w:hAnsi="Garamond"/>
          <w:sz w:val="26"/>
          <w:szCs w:val="26"/>
        </w:rPr>
      </w:pPr>
      <w:r w:rsidRPr="00BE10AE">
        <w:rPr>
          <w:rFonts w:ascii="Garamond" w:hAnsi="Garamond"/>
          <w:sz w:val="26"/>
          <w:szCs w:val="26"/>
        </w:rPr>
        <w:t xml:space="preserve">Because </w:t>
      </w:r>
      <w:r w:rsidR="005E1672" w:rsidRPr="00BE10AE">
        <w:rPr>
          <w:rFonts w:ascii="Garamond" w:hAnsi="Garamond"/>
          <w:sz w:val="26"/>
          <w:szCs w:val="26"/>
        </w:rPr>
        <w:t>a resolution looked unlikely</w:t>
      </w:r>
      <w:r w:rsidR="00753C34" w:rsidRPr="00BE10AE">
        <w:rPr>
          <w:rFonts w:ascii="Garamond" w:hAnsi="Garamond"/>
          <w:sz w:val="26"/>
          <w:szCs w:val="26"/>
        </w:rPr>
        <w:t>, the</w:t>
      </w:r>
      <w:r w:rsidR="00BB0468" w:rsidRPr="00BE10AE">
        <w:rPr>
          <w:rFonts w:ascii="Garamond" w:hAnsi="Garamond"/>
          <w:sz w:val="26"/>
          <w:szCs w:val="26"/>
        </w:rPr>
        <w:t xml:space="preserve"> prosecutor requested an </w:t>
      </w:r>
      <w:r w:rsidR="00BB0468" w:rsidRPr="00BE10AE">
        <w:rPr>
          <w:rFonts w:ascii="Garamond" w:hAnsi="Garamond"/>
          <w:i/>
          <w:iCs/>
          <w:sz w:val="26"/>
          <w:szCs w:val="26"/>
        </w:rPr>
        <w:t>Alvernez</w:t>
      </w:r>
      <w:r w:rsidR="00BB0468" w:rsidRPr="00BE10AE">
        <w:rPr>
          <w:rFonts w:ascii="Garamond" w:hAnsi="Garamond"/>
          <w:sz w:val="26"/>
          <w:szCs w:val="26"/>
        </w:rPr>
        <w:t xml:space="preserve"> waiver, a procedure whereby the judge effectively says to each defendant, </w:t>
      </w:r>
      <w:r w:rsidR="00345E47" w:rsidRPr="00BE10AE">
        <w:rPr>
          <w:rFonts w:ascii="Garamond" w:hAnsi="Garamond"/>
          <w:sz w:val="26"/>
          <w:szCs w:val="26"/>
        </w:rPr>
        <w:t>“</w:t>
      </w:r>
      <w:r w:rsidR="00BB0468" w:rsidRPr="00BE10AE">
        <w:rPr>
          <w:rFonts w:ascii="Garamond" w:hAnsi="Garamond"/>
          <w:sz w:val="26"/>
          <w:szCs w:val="26"/>
        </w:rPr>
        <w:t>Hey, you sure you want to go to trial?</w:t>
      </w:r>
      <w:r w:rsidR="00345E47" w:rsidRPr="00BE10AE">
        <w:rPr>
          <w:rFonts w:ascii="Garamond" w:hAnsi="Garamond"/>
          <w:sz w:val="26"/>
          <w:szCs w:val="26"/>
        </w:rPr>
        <w:t>”</w:t>
      </w:r>
      <w:r w:rsidR="00BB0468" w:rsidRPr="00BE10AE">
        <w:rPr>
          <w:rFonts w:ascii="Garamond" w:hAnsi="Garamond"/>
          <w:sz w:val="26"/>
          <w:szCs w:val="26"/>
        </w:rPr>
        <w:t xml:space="preserve"> </w:t>
      </w:r>
      <w:r w:rsidR="00684493" w:rsidRPr="00BE10AE">
        <w:rPr>
          <w:rFonts w:ascii="Garamond" w:hAnsi="Garamond"/>
          <w:sz w:val="26"/>
          <w:szCs w:val="26"/>
        </w:rPr>
        <w:t>(</w:t>
      </w:r>
      <w:r w:rsidR="005B4E60" w:rsidRPr="00BE10AE">
        <w:rPr>
          <w:rFonts w:ascii="Garamond" w:hAnsi="Garamond"/>
          <w:sz w:val="26"/>
          <w:szCs w:val="26"/>
        </w:rPr>
        <w:t xml:space="preserve">See </w:t>
      </w:r>
      <w:r w:rsidR="00684493" w:rsidRPr="00BE10AE">
        <w:rPr>
          <w:rFonts w:ascii="Garamond" w:hAnsi="Garamond"/>
          <w:i/>
          <w:iCs/>
          <w:sz w:val="26"/>
          <w:szCs w:val="26"/>
        </w:rPr>
        <w:t>Sandoval</w:t>
      </w:r>
      <w:r w:rsidR="00684493" w:rsidRPr="00BE10AE">
        <w:rPr>
          <w:rFonts w:ascii="Garamond" w:hAnsi="Garamond"/>
          <w:sz w:val="26"/>
          <w:szCs w:val="26"/>
        </w:rPr>
        <w:t xml:space="preserve">, </w:t>
      </w:r>
      <w:r w:rsidR="00684493" w:rsidRPr="00BE10AE">
        <w:rPr>
          <w:rFonts w:ascii="Garamond" w:hAnsi="Garamond"/>
          <w:i/>
          <w:iCs/>
          <w:sz w:val="26"/>
          <w:szCs w:val="26"/>
        </w:rPr>
        <w:t>supra</w:t>
      </w:r>
      <w:r w:rsidR="00684493" w:rsidRPr="00BE10AE">
        <w:rPr>
          <w:rFonts w:ascii="Garamond" w:hAnsi="Garamond"/>
          <w:sz w:val="26"/>
          <w:szCs w:val="26"/>
        </w:rPr>
        <w:t xml:space="preserve">, 140 Cal.App.4th at </w:t>
      </w:r>
      <w:r w:rsidR="00017FED" w:rsidRPr="00BE10AE">
        <w:rPr>
          <w:rFonts w:ascii="Garamond" w:hAnsi="Garamond"/>
          <w:sz w:val="26"/>
          <w:szCs w:val="26"/>
        </w:rPr>
        <w:t>p. 116, fn. 4</w:t>
      </w:r>
      <w:r w:rsidR="00684493" w:rsidRPr="00BE10AE">
        <w:rPr>
          <w:rFonts w:ascii="Garamond" w:hAnsi="Garamond"/>
          <w:sz w:val="26"/>
          <w:szCs w:val="26"/>
        </w:rPr>
        <w:t xml:space="preserve">.) </w:t>
      </w:r>
      <w:r w:rsidR="00811422" w:rsidRPr="00BE10AE">
        <w:rPr>
          <w:rFonts w:ascii="Garamond" w:hAnsi="Garamond"/>
          <w:sz w:val="26"/>
          <w:szCs w:val="26"/>
        </w:rPr>
        <w:t>S</w:t>
      </w:r>
      <w:r w:rsidR="007400F6" w:rsidRPr="00BE10AE">
        <w:rPr>
          <w:rFonts w:ascii="Garamond" w:hAnsi="Garamond"/>
          <w:sz w:val="26"/>
          <w:szCs w:val="26"/>
        </w:rPr>
        <w:t xml:space="preserve">uch a waiver would preclude a later claim that defense counsel had withheld the terms of the plea bargain from the defendant and forced him out to trial. </w:t>
      </w:r>
      <w:r w:rsidR="00684493" w:rsidRPr="00BE10AE">
        <w:rPr>
          <w:rFonts w:ascii="Garamond" w:hAnsi="Garamond"/>
          <w:sz w:val="26"/>
          <w:szCs w:val="26"/>
        </w:rPr>
        <w:t>(</w:t>
      </w:r>
      <w:r w:rsidR="0027105F" w:rsidRPr="00BE10AE">
        <w:rPr>
          <w:rFonts w:ascii="Garamond" w:hAnsi="Garamond"/>
          <w:i/>
          <w:iCs/>
          <w:sz w:val="26"/>
          <w:szCs w:val="26"/>
        </w:rPr>
        <w:t>I</w:t>
      </w:r>
      <w:r w:rsidR="00017FED" w:rsidRPr="00BE10AE">
        <w:rPr>
          <w:rFonts w:ascii="Garamond" w:hAnsi="Garamond"/>
          <w:i/>
          <w:iCs/>
          <w:sz w:val="26"/>
          <w:szCs w:val="26"/>
        </w:rPr>
        <w:t>bi</w:t>
      </w:r>
      <w:r w:rsidR="0027105F" w:rsidRPr="00BE10AE">
        <w:rPr>
          <w:rFonts w:ascii="Garamond" w:hAnsi="Garamond"/>
          <w:i/>
          <w:iCs/>
          <w:sz w:val="26"/>
          <w:szCs w:val="26"/>
        </w:rPr>
        <w:t>d</w:t>
      </w:r>
      <w:r w:rsidR="00684493" w:rsidRPr="00BE10AE">
        <w:rPr>
          <w:rFonts w:ascii="Garamond" w:hAnsi="Garamond"/>
          <w:sz w:val="26"/>
          <w:szCs w:val="26"/>
        </w:rPr>
        <w:t xml:space="preserve">.) </w:t>
      </w:r>
    </w:p>
    <w:p w14:paraId="56D06F08" w14:textId="67E30872" w:rsidR="00042881" w:rsidRPr="00BE10AE" w:rsidRDefault="00EF3C16" w:rsidP="00420C0F">
      <w:pPr>
        <w:spacing w:line="360" w:lineRule="auto"/>
        <w:ind w:firstLine="360"/>
        <w:contextualSpacing/>
        <w:rPr>
          <w:rFonts w:ascii="Garamond" w:hAnsi="Garamond"/>
          <w:sz w:val="26"/>
          <w:szCs w:val="26"/>
        </w:rPr>
      </w:pPr>
      <w:r w:rsidRPr="00BE10AE">
        <w:rPr>
          <w:rFonts w:ascii="Garamond" w:hAnsi="Garamond"/>
          <w:sz w:val="26"/>
          <w:szCs w:val="26"/>
        </w:rPr>
        <w:t>The court allowed</w:t>
      </w:r>
      <w:r w:rsidR="0038474E" w:rsidRPr="00BE10AE">
        <w:rPr>
          <w:rFonts w:ascii="Garamond" w:hAnsi="Garamond"/>
          <w:sz w:val="26"/>
          <w:szCs w:val="26"/>
        </w:rPr>
        <w:t xml:space="preserve"> the prosecutor</w:t>
      </w:r>
      <w:r w:rsidRPr="00BE10AE">
        <w:rPr>
          <w:rFonts w:ascii="Garamond" w:hAnsi="Garamond"/>
          <w:sz w:val="26"/>
          <w:szCs w:val="26"/>
        </w:rPr>
        <w:t xml:space="preserve"> to</w:t>
      </w:r>
      <w:r w:rsidR="0038474E" w:rsidRPr="00BE10AE">
        <w:rPr>
          <w:rFonts w:ascii="Garamond" w:hAnsi="Garamond"/>
          <w:sz w:val="26"/>
          <w:szCs w:val="26"/>
        </w:rPr>
        <w:t xml:space="preserve"> </w:t>
      </w:r>
      <w:r w:rsidR="005473A2" w:rsidRPr="00BE10AE">
        <w:rPr>
          <w:rFonts w:ascii="Garamond" w:hAnsi="Garamond"/>
          <w:sz w:val="26"/>
          <w:szCs w:val="26"/>
        </w:rPr>
        <w:t>tell</w:t>
      </w:r>
      <w:r w:rsidR="0038474E" w:rsidRPr="00BE10AE">
        <w:rPr>
          <w:rFonts w:ascii="Garamond" w:hAnsi="Garamond"/>
          <w:sz w:val="26"/>
          <w:szCs w:val="26"/>
        </w:rPr>
        <w:t xml:space="preserve"> each </w:t>
      </w:r>
      <w:r w:rsidR="000D2839" w:rsidRPr="00BE10AE">
        <w:rPr>
          <w:rFonts w:ascii="Garamond" w:hAnsi="Garamond"/>
          <w:sz w:val="26"/>
          <w:szCs w:val="26"/>
        </w:rPr>
        <w:t xml:space="preserve">defendant </w:t>
      </w:r>
      <w:r w:rsidR="005473A2" w:rsidRPr="00BE10AE">
        <w:rPr>
          <w:rFonts w:ascii="Garamond" w:hAnsi="Garamond"/>
          <w:sz w:val="26"/>
          <w:szCs w:val="26"/>
        </w:rPr>
        <w:t xml:space="preserve">what the offer was and what they were facing after trial. </w:t>
      </w:r>
      <w:r w:rsidR="00537D40" w:rsidRPr="00BE10AE">
        <w:rPr>
          <w:rFonts w:ascii="Garamond" w:hAnsi="Garamond"/>
          <w:sz w:val="26"/>
          <w:szCs w:val="26"/>
        </w:rPr>
        <w:t>(</w:t>
      </w:r>
      <w:r w:rsidR="00537D40" w:rsidRPr="00BE10AE">
        <w:rPr>
          <w:rFonts w:ascii="Garamond" w:hAnsi="Garamond"/>
          <w:i/>
          <w:iCs/>
          <w:sz w:val="26"/>
          <w:szCs w:val="26"/>
        </w:rPr>
        <w:t>Sandoval</w:t>
      </w:r>
      <w:r w:rsidR="00537D40" w:rsidRPr="00BE10AE">
        <w:rPr>
          <w:rFonts w:ascii="Garamond" w:hAnsi="Garamond"/>
          <w:sz w:val="26"/>
          <w:szCs w:val="26"/>
        </w:rPr>
        <w:t xml:space="preserve">, </w:t>
      </w:r>
      <w:r w:rsidR="00537D40" w:rsidRPr="00BE10AE">
        <w:rPr>
          <w:rFonts w:ascii="Garamond" w:hAnsi="Garamond"/>
          <w:i/>
          <w:iCs/>
          <w:sz w:val="26"/>
          <w:szCs w:val="26"/>
        </w:rPr>
        <w:t>supra</w:t>
      </w:r>
      <w:r w:rsidR="00537D40" w:rsidRPr="00BE10AE">
        <w:rPr>
          <w:rFonts w:ascii="Garamond" w:hAnsi="Garamond"/>
          <w:sz w:val="26"/>
          <w:szCs w:val="26"/>
        </w:rPr>
        <w:t xml:space="preserve">, 140 Cal.App.4th at p. 117.) </w:t>
      </w:r>
      <w:r w:rsidR="005473A2" w:rsidRPr="00BE10AE">
        <w:rPr>
          <w:rFonts w:ascii="Garamond" w:hAnsi="Garamond"/>
          <w:sz w:val="26"/>
          <w:szCs w:val="26"/>
        </w:rPr>
        <w:t xml:space="preserve">All the defense attorneys said </w:t>
      </w:r>
      <w:r w:rsidR="00FE65C0" w:rsidRPr="00BE10AE">
        <w:rPr>
          <w:rFonts w:ascii="Garamond" w:hAnsi="Garamond"/>
          <w:sz w:val="26"/>
          <w:szCs w:val="26"/>
        </w:rPr>
        <w:t>their clients</w:t>
      </w:r>
      <w:r w:rsidR="005473A2" w:rsidRPr="00BE10AE">
        <w:rPr>
          <w:rFonts w:ascii="Garamond" w:hAnsi="Garamond"/>
          <w:sz w:val="26"/>
          <w:szCs w:val="26"/>
        </w:rPr>
        <w:t xml:space="preserve"> wanted to take the deal</w:t>
      </w:r>
      <w:r w:rsidR="00504418" w:rsidRPr="00BE10AE">
        <w:rPr>
          <w:rFonts w:ascii="Garamond" w:hAnsi="Garamond"/>
          <w:sz w:val="26"/>
          <w:szCs w:val="26"/>
        </w:rPr>
        <w:t>, a</w:t>
      </w:r>
      <w:r w:rsidR="005473A2" w:rsidRPr="00BE10AE">
        <w:rPr>
          <w:rFonts w:ascii="Garamond" w:hAnsi="Garamond"/>
          <w:sz w:val="26"/>
          <w:szCs w:val="26"/>
        </w:rPr>
        <w:t>ll except Sandoval</w:t>
      </w:r>
      <w:r w:rsidR="00345E47" w:rsidRPr="00BE10AE">
        <w:rPr>
          <w:rFonts w:ascii="Garamond" w:hAnsi="Garamond"/>
          <w:sz w:val="26"/>
          <w:szCs w:val="26"/>
        </w:rPr>
        <w:t>’</w:t>
      </w:r>
      <w:r w:rsidR="00FE65C0" w:rsidRPr="00BE10AE">
        <w:rPr>
          <w:rFonts w:ascii="Garamond" w:hAnsi="Garamond"/>
          <w:sz w:val="26"/>
          <w:szCs w:val="26"/>
        </w:rPr>
        <w:t>s</w:t>
      </w:r>
      <w:r w:rsidR="005473A2" w:rsidRPr="00BE10AE">
        <w:rPr>
          <w:rFonts w:ascii="Garamond" w:hAnsi="Garamond"/>
          <w:sz w:val="26"/>
          <w:szCs w:val="26"/>
        </w:rPr>
        <w:t xml:space="preserve">. </w:t>
      </w:r>
      <w:r w:rsidR="006A5EE3" w:rsidRPr="00BE10AE">
        <w:rPr>
          <w:rFonts w:ascii="Garamond" w:hAnsi="Garamond"/>
          <w:sz w:val="26"/>
          <w:szCs w:val="26"/>
        </w:rPr>
        <w:t>(</w:t>
      </w:r>
      <w:r w:rsidR="006A5EE3" w:rsidRPr="00BE10AE">
        <w:rPr>
          <w:rFonts w:ascii="Garamond" w:hAnsi="Garamond"/>
          <w:i/>
          <w:iCs/>
          <w:sz w:val="26"/>
          <w:szCs w:val="26"/>
        </w:rPr>
        <w:t>Ibid</w:t>
      </w:r>
      <w:r w:rsidR="006A5EE3" w:rsidRPr="00BE10AE">
        <w:rPr>
          <w:rFonts w:ascii="Garamond" w:hAnsi="Garamond"/>
          <w:sz w:val="26"/>
          <w:szCs w:val="26"/>
        </w:rPr>
        <w:t xml:space="preserve">.) </w:t>
      </w:r>
      <w:r w:rsidR="00D644EC" w:rsidRPr="00BE10AE">
        <w:rPr>
          <w:rFonts w:ascii="Garamond" w:hAnsi="Garamond"/>
          <w:sz w:val="26"/>
          <w:szCs w:val="26"/>
        </w:rPr>
        <w:t>One of the attorneys suggested</w:t>
      </w:r>
      <w:r w:rsidR="00FE65C0" w:rsidRPr="00BE10AE">
        <w:rPr>
          <w:rFonts w:ascii="Garamond" w:hAnsi="Garamond"/>
          <w:sz w:val="26"/>
          <w:szCs w:val="26"/>
        </w:rPr>
        <w:t xml:space="preserve"> that the judge ask the </w:t>
      </w:r>
      <w:r w:rsidR="00D644EC" w:rsidRPr="00BE10AE">
        <w:rPr>
          <w:rFonts w:ascii="Garamond" w:hAnsi="Garamond"/>
          <w:sz w:val="26"/>
          <w:szCs w:val="26"/>
        </w:rPr>
        <w:t xml:space="preserve">defendants personally whether they wanted to </w:t>
      </w:r>
      <w:r w:rsidR="00FE65C0" w:rsidRPr="00BE10AE">
        <w:rPr>
          <w:rFonts w:ascii="Garamond" w:hAnsi="Garamond"/>
          <w:sz w:val="26"/>
          <w:szCs w:val="26"/>
        </w:rPr>
        <w:t>take the deal</w:t>
      </w:r>
      <w:r w:rsidR="00D644EC" w:rsidRPr="00BE10AE">
        <w:rPr>
          <w:rFonts w:ascii="Garamond" w:hAnsi="Garamond"/>
          <w:sz w:val="26"/>
          <w:szCs w:val="26"/>
        </w:rPr>
        <w:t xml:space="preserve">. </w:t>
      </w:r>
      <w:r w:rsidR="006A5EE3" w:rsidRPr="00BE10AE">
        <w:rPr>
          <w:rFonts w:ascii="Garamond" w:hAnsi="Garamond"/>
          <w:sz w:val="26"/>
          <w:szCs w:val="26"/>
        </w:rPr>
        <w:t>(</w:t>
      </w:r>
      <w:r w:rsidR="006A5EE3" w:rsidRPr="00BE10AE">
        <w:rPr>
          <w:rFonts w:ascii="Garamond" w:hAnsi="Garamond"/>
          <w:i/>
          <w:iCs/>
          <w:sz w:val="26"/>
          <w:szCs w:val="26"/>
        </w:rPr>
        <w:t>Ibid</w:t>
      </w:r>
      <w:r w:rsidR="006A5EE3" w:rsidRPr="00BE10AE">
        <w:rPr>
          <w:rFonts w:ascii="Garamond" w:hAnsi="Garamond"/>
          <w:sz w:val="26"/>
          <w:szCs w:val="26"/>
        </w:rPr>
        <w:t xml:space="preserve">.) </w:t>
      </w:r>
      <w:r w:rsidR="00D07B4F" w:rsidRPr="00BE10AE">
        <w:rPr>
          <w:rFonts w:ascii="Garamond" w:hAnsi="Garamond"/>
          <w:sz w:val="26"/>
          <w:szCs w:val="26"/>
        </w:rPr>
        <w:t xml:space="preserve">The court </w:t>
      </w:r>
      <w:r w:rsidR="00FE65C0" w:rsidRPr="00BE10AE">
        <w:rPr>
          <w:rFonts w:ascii="Garamond" w:hAnsi="Garamond"/>
          <w:sz w:val="26"/>
          <w:szCs w:val="26"/>
        </w:rPr>
        <w:t>did</w:t>
      </w:r>
      <w:r w:rsidR="00D07B4F" w:rsidRPr="00BE10AE">
        <w:rPr>
          <w:rFonts w:ascii="Garamond" w:hAnsi="Garamond"/>
          <w:sz w:val="26"/>
          <w:szCs w:val="26"/>
        </w:rPr>
        <w:t xml:space="preserve">, and again, each </w:t>
      </w:r>
      <w:r w:rsidR="00042881" w:rsidRPr="00BE10AE">
        <w:rPr>
          <w:rFonts w:ascii="Garamond" w:hAnsi="Garamond"/>
          <w:sz w:val="26"/>
          <w:szCs w:val="26"/>
        </w:rPr>
        <w:t xml:space="preserve">defendant </w:t>
      </w:r>
      <w:r w:rsidR="00D07B4F" w:rsidRPr="00BE10AE">
        <w:rPr>
          <w:rFonts w:ascii="Garamond" w:hAnsi="Garamond"/>
          <w:sz w:val="26"/>
          <w:szCs w:val="26"/>
        </w:rPr>
        <w:t>said he was willing to plead</w:t>
      </w:r>
      <w:r w:rsidR="00042881" w:rsidRPr="00BE10AE">
        <w:rPr>
          <w:rFonts w:ascii="Garamond" w:hAnsi="Garamond"/>
          <w:sz w:val="26"/>
          <w:szCs w:val="26"/>
        </w:rPr>
        <w:t xml:space="preserve">. </w:t>
      </w:r>
      <w:r w:rsidR="006A5EE3" w:rsidRPr="00BE10AE">
        <w:rPr>
          <w:rFonts w:ascii="Garamond" w:hAnsi="Garamond"/>
          <w:sz w:val="26"/>
          <w:szCs w:val="26"/>
        </w:rPr>
        <w:t>(</w:t>
      </w:r>
      <w:r w:rsidR="006A5EE3" w:rsidRPr="00BE10AE">
        <w:rPr>
          <w:rFonts w:ascii="Garamond" w:hAnsi="Garamond"/>
          <w:i/>
          <w:iCs/>
          <w:sz w:val="26"/>
          <w:szCs w:val="26"/>
        </w:rPr>
        <w:t>Ibid</w:t>
      </w:r>
      <w:r w:rsidR="006A5EE3" w:rsidRPr="00BE10AE">
        <w:rPr>
          <w:rFonts w:ascii="Garamond" w:hAnsi="Garamond"/>
          <w:sz w:val="26"/>
          <w:szCs w:val="26"/>
        </w:rPr>
        <w:t xml:space="preserve">.) </w:t>
      </w:r>
      <w:r w:rsidR="00A9001B" w:rsidRPr="00BE10AE">
        <w:rPr>
          <w:rFonts w:ascii="Garamond" w:hAnsi="Garamond"/>
          <w:sz w:val="26"/>
          <w:szCs w:val="26"/>
        </w:rPr>
        <w:t>All e</w:t>
      </w:r>
      <w:r w:rsidR="00042881" w:rsidRPr="00BE10AE">
        <w:rPr>
          <w:rFonts w:ascii="Garamond" w:hAnsi="Garamond"/>
          <w:sz w:val="26"/>
          <w:szCs w:val="26"/>
        </w:rPr>
        <w:t>x</w:t>
      </w:r>
      <w:r w:rsidR="00D07B4F" w:rsidRPr="00BE10AE">
        <w:rPr>
          <w:rFonts w:ascii="Garamond" w:hAnsi="Garamond"/>
          <w:sz w:val="26"/>
          <w:szCs w:val="26"/>
        </w:rPr>
        <w:t xml:space="preserve">cept for Sandoval. </w:t>
      </w:r>
      <w:r w:rsidR="006A5EE3" w:rsidRPr="00BE10AE">
        <w:rPr>
          <w:rFonts w:ascii="Garamond" w:hAnsi="Garamond"/>
          <w:sz w:val="26"/>
          <w:szCs w:val="26"/>
        </w:rPr>
        <w:t>(</w:t>
      </w:r>
      <w:r w:rsidR="006A5EE3" w:rsidRPr="00BE10AE">
        <w:rPr>
          <w:rFonts w:ascii="Garamond" w:hAnsi="Garamond"/>
          <w:i/>
          <w:iCs/>
          <w:sz w:val="26"/>
          <w:szCs w:val="26"/>
        </w:rPr>
        <w:t>Ibid</w:t>
      </w:r>
      <w:r w:rsidR="006A5EE3" w:rsidRPr="00BE10AE">
        <w:rPr>
          <w:rFonts w:ascii="Garamond" w:hAnsi="Garamond"/>
          <w:sz w:val="26"/>
          <w:szCs w:val="26"/>
        </w:rPr>
        <w:t>.)</w:t>
      </w:r>
    </w:p>
    <w:p w14:paraId="49717EB8" w14:textId="52E17FB7" w:rsidR="00BB0468" w:rsidRPr="00BE10AE" w:rsidRDefault="00D07B4F" w:rsidP="00420C0F">
      <w:pPr>
        <w:spacing w:line="360" w:lineRule="auto"/>
        <w:ind w:firstLine="360"/>
        <w:contextualSpacing/>
        <w:rPr>
          <w:rFonts w:ascii="Garamond" w:hAnsi="Garamond"/>
          <w:sz w:val="26"/>
          <w:szCs w:val="26"/>
        </w:rPr>
      </w:pPr>
      <w:r w:rsidRPr="00BE10AE">
        <w:rPr>
          <w:rFonts w:ascii="Garamond" w:hAnsi="Garamond"/>
          <w:sz w:val="26"/>
          <w:szCs w:val="26"/>
        </w:rPr>
        <w:t xml:space="preserve">The court said, </w:t>
      </w:r>
      <w:r w:rsidR="00345E47" w:rsidRPr="00BE10AE">
        <w:rPr>
          <w:rFonts w:ascii="Garamond" w:hAnsi="Garamond"/>
          <w:sz w:val="26"/>
          <w:szCs w:val="26"/>
        </w:rPr>
        <w:t>“</w:t>
      </w:r>
      <w:r w:rsidR="00D5355E" w:rsidRPr="00BE10AE">
        <w:rPr>
          <w:rFonts w:ascii="Garamond" w:hAnsi="Garamond"/>
          <w:sz w:val="26"/>
          <w:szCs w:val="26"/>
        </w:rPr>
        <w:t>Okay. We</w:t>
      </w:r>
      <w:r w:rsidR="00345E47" w:rsidRPr="00BE10AE">
        <w:rPr>
          <w:rFonts w:ascii="Garamond" w:hAnsi="Garamond"/>
          <w:sz w:val="26"/>
          <w:szCs w:val="26"/>
        </w:rPr>
        <w:t>’</w:t>
      </w:r>
      <w:r w:rsidR="00D5355E" w:rsidRPr="00BE10AE">
        <w:rPr>
          <w:rFonts w:ascii="Garamond" w:hAnsi="Garamond"/>
          <w:sz w:val="26"/>
          <w:szCs w:val="26"/>
        </w:rPr>
        <w:t>ll go to trial. The record should be clear this is an offer that I think on the face of it is real clear that it is a very good offer. So, we go to trial. Okay. Thank you, very much. Anything else we can do? I can</w:t>
      </w:r>
      <w:r w:rsidR="00345E47" w:rsidRPr="00BE10AE">
        <w:rPr>
          <w:rFonts w:ascii="Garamond" w:hAnsi="Garamond"/>
          <w:sz w:val="26"/>
          <w:szCs w:val="26"/>
        </w:rPr>
        <w:t>’</w:t>
      </w:r>
      <w:r w:rsidR="00D5355E" w:rsidRPr="00BE10AE">
        <w:rPr>
          <w:rFonts w:ascii="Garamond" w:hAnsi="Garamond"/>
          <w:sz w:val="26"/>
          <w:szCs w:val="26"/>
        </w:rPr>
        <w:t>t twist Mr. Sandoval</w:t>
      </w:r>
      <w:r w:rsidR="00345E47" w:rsidRPr="00BE10AE">
        <w:rPr>
          <w:rFonts w:ascii="Garamond" w:hAnsi="Garamond"/>
          <w:sz w:val="26"/>
          <w:szCs w:val="26"/>
        </w:rPr>
        <w:t>’</w:t>
      </w:r>
      <w:r w:rsidR="00D5355E" w:rsidRPr="00BE10AE">
        <w:rPr>
          <w:rFonts w:ascii="Garamond" w:hAnsi="Garamond"/>
          <w:sz w:val="26"/>
          <w:szCs w:val="26"/>
        </w:rPr>
        <w:t>s arm. I don</w:t>
      </w:r>
      <w:r w:rsidR="00345E47" w:rsidRPr="00BE10AE">
        <w:rPr>
          <w:rFonts w:ascii="Garamond" w:hAnsi="Garamond"/>
          <w:sz w:val="26"/>
          <w:szCs w:val="26"/>
        </w:rPr>
        <w:t>’</w:t>
      </w:r>
      <w:r w:rsidR="00D5355E" w:rsidRPr="00BE10AE">
        <w:rPr>
          <w:rFonts w:ascii="Garamond" w:hAnsi="Garamond"/>
          <w:sz w:val="26"/>
          <w:szCs w:val="26"/>
        </w:rPr>
        <w:t>t think anybody should or could.</w:t>
      </w:r>
      <w:r w:rsidR="00345E47" w:rsidRPr="00BE10AE">
        <w:rPr>
          <w:rFonts w:ascii="Garamond" w:hAnsi="Garamond"/>
          <w:sz w:val="26"/>
          <w:szCs w:val="26"/>
        </w:rPr>
        <w:t>”</w:t>
      </w:r>
      <w:r w:rsidR="00B63600" w:rsidRPr="00BE10AE">
        <w:rPr>
          <w:rFonts w:ascii="Garamond" w:hAnsi="Garamond"/>
          <w:sz w:val="26"/>
          <w:szCs w:val="26"/>
        </w:rPr>
        <w:t xml:space="preserve"> (</w:t>
      </w:r>
      <w:r w:rsidR="00B63600" w:rsidRPr="00BE10AE">
        <w:rPr>
          <w:rFonts w:ascii="Garamond" w:hAnsi="Garamond"/>
          <w:i/>
          <w:iCs/>
          <w:sz w:val="26"/>
          <w:szCs w:val="26"/>
        </w:rPr>
        <w:t>Sandoval</w:t>
      </w:r>
      <w:r w:rsidR="00B63600" w:rsidRPr="00BE10AE">
        <w:rPr>
          <w:rFonts w:ascii="Garamond" w:hAnsi="Garamond"/>
          <w:sz w:val="26"/>
          <w:szCs w:val="26"/>
        </w:rPr>
        <w:t xml:space="preserve">, </w:t>
      </w:r>
      <w:r w:rsidR="00B63600" w:rsidRPr="00BE10AE">
        <w:rPr>
          <w:rFonts w:ascii="Garamond" w:hAnsi="Garamond"/>
          <w:i/>
          <w:iCs/>
          <w:sz w:val="26"/>
          <w:szCs w:val="26"/>
        </w:rPr>
        <w:t>supra</w:t>
      </w:r>
      <w:r w:rsidR="00B63600" w:rsidRPr="00BE10AE">
        <w:rPr>
          <w:rFonts w:ascii="Garamond" w:hAnsi="Garamond"/>
          <w:sz w:val="26"/>
          <w:szCs w:val="26"/>
        </w:rPr>
        <w:t>, 140 Cal.App.4th at p. 117.)</w:t>
      </w:r>
    </w:p>
    <w:p w14:paraId="2A10659E" w14:textId="2FED760F" w:rsidR="00D5355E" w:rsidRPr="00BE10AE" w:rsidRDefault="00207401" w:rsidP="00420C0F">
      <w:pPr>
        <w:spacing w:line="360" w:lineRule="auto"/>
        <w:ind w:firstLine="360"/>
        <w:contextualSpacing/>
        <w:rPr>
          <w:rFonts w:ascii="Garamond" w:hAnsi="Garamond"/>
          <w:sz w:val="26"/>
          <w:szCs w:val="26"/>
        </w:rPr>
      </w:pPr>
      <w:r w:rsidRPr="00BE10AE">
        <w:rPr>
          <w:rFonts w:ascii="Garamond" w:hAnsi="Garamond"/>
          <w:sz w:val="26"/>
          <w:szCs w:val="26"/>
        </w:rPr>
        <w:t>One of the co-defendant</w:t>
      </w:r>
      <w:r w:rsidR="00345E47" w:rsidRPr="00BE10AE">
        <w:rPr>
          <w:rFonts w:ascii="Garamond" w:hAnsi="Garamond"/>
          <w:sz w:val="26"/>
          <w:szCs w:val="26"/>
        </w:rPr>
        <w:t>’</w:t>
      </w:r>
      <w:r w:rsidRPr="00BE10AE">
        <w:rPr>
          <w:rFonts w:ascii="Garamond" w:hAnsi="Garamond"/>
          <w:sz w:val="26"/>
          <w:szCs w:val="26"/>
        </w:rPr>
        <w:t xml:space="preserve">s attorneys </w:t>
      </w:r>
      <w:r w:rsidR="00732EAB" w:rsidRPr="00BE10AE">
        <w:rPr>
          <w:rFonts w:ascii="Garamond" w:hAnsi="Garamond"/>
          <w:sz w:val="26"/>
          <w:szCs w:val="26"/>
        </w:rPr>
        <w:t>said</w:t>
      </w:r>
      <w:r w:rsidRPr="00BE10AE">
        <w:rPr>
          <w:rFonts w:ascii="Garamond" w:hAnsi="Garamond"/>
          <w:sz w:val="26"/>
          <w:szCs w:val="26"/>
        </w:rPr>
        <w:t xml:space="preserve">, </w:t>
      </w:r>
      <w:r w:rsidR="00345E47" w:rsidRPr="00BE10AE">
        <w:rPr>
          <w:rFonts w:ascii="Garamond" w:hAnsi="Garamond"/>
          <w:sz w:val="26"/>
          <w:szCs w:val="26"/>
        </w:rPr>
        <w:t>“</w:t>
      </w:r>
      <w:r w:rsidRPr="00BE10AE">
        <w:rPr>
          <w:rFonts w:ascii="Garamond" w:hAnsi="Garamond"/>
          <w:sz w:val="26"/>
          <w:szCs w:val="26"/>
        </w:rPr>
        <w:t>The only problem is [Sandoval is] drawing three other people in who do want to take the dea</w:t>
      </w:r>
      <w:r w:rsidR="00A349EC" w:rsidRPr="00BE10AE">
        <w:rPr>
          <w:rFonts w:ascii="Garamond" w:hAnsi="Garamond"/>
          <w:sz w:val="26"/>
          <w:szCs w:val="26"/>
        </w:rPr>
        <w:t>l .</w:t>
      </w:r>
      <w:r w:rsidR="00994007" w:rsidRPr="00BE10AE">
        <w:rPr>
          <w:rFonts w:ascii="Garamond" w:hAnsi="Garamond"/>
          <w:sz w:val="26"/>
          <w:szCs w:val="26"/>
        </w:rPr>
        <w:t> . . </w:t>
      </w:r>
      <w:r w:rsidRPr="00BE10AE">
        <w:rPr>
          <w:rFonts w:ascii="Garamond" w:hAnsi="Garamond"/>
          <w:sz w:val="26"/>
          <w:szCs w:val="26"/>
        </w:rPr>
        <w:t>So that the record is clear, that when a person dies, there</w:t>
      </w:r>
      <w:r w:rsidR="00345E47" w:rsidRPr="00BE10AE">
        <w:rPr>
          <w:rFonts w:ascii="Garamond" w:hAnsi="Garamond"/>
          <w:sz w:val="26"/>
          <w:szCs w:val="26"/>
        </w:rPr>
        <w:t>’</w:t>
      </w:r>
      <w:r w:rsidRPr="00BE10AE">
        <w:rPr>
          <w:rFonts w:ascii="Garamond" w:hAnsi="Garamond"/>
          <w:sz w:val="26"/>
          <w:szCs w:val="26"/>
        </w:rPr>
        <w:t>s a homicide case, the offer, when the determinate sentence is in the 20</w:t>
      </w:r>
      <w:r w:rsidR="00345E47" w:rsidRPr="00BE10AE">
        <w:rPr>
          <w:rFonts w:ascii="Garamond" w:hAnsi="Garamond"/>
          <w:sz w:val="26"/>
          <w:szCs w:val="26"/>
        </w:rPr>
        <w:t>’</w:t>
      </w:r>
      <w:r w:rsidRPr="00BE10AE">
        <w:rPr>
          <w:rFonts w:ascii="Garamond" w:hAnsi="Garamond"/>
          <w:sz w:val="26"/>
          <w:szCs w:val="26"/>
        </w:rPr>
        <w:t>s, it is not a good deal, it is a very, very good deal.</w:t>
      </w:r>
      <w:r w:rsidR="00345E47" w:rsidRPr="00BE10AE">
        <w:rPr>
          <w:rFonts w:ascii="Garamond" w:hAnsi="Garamond"/>
          <w:sz w:val="26"/>
          <w:szCs w:val="26"/>
        </w:rPr>
        <w:t>”</w:t>
      </w:r>
      <w:r w:rsidRPr="00BE10AE">
        <w:rPr>
          <w:rFonts w:ascii="Garamond" w:hAnsi="Garamond"/>
          <w:sz w:val="26"/>
          <w:szCs w:val="26"/>
        </w:rPr>
        <w:t xml:space="preserve"> </w:t>
      </w:r>
      <w:r w:rsidR="00B63600" w:rsidRPr="00BE10AE">
        <w:rPr>
          <w:rFonts w:ascii="Garamond" w:hAnsi="Garamond"/>
          <w:sz w:val="26"/>
          <w:szCs w:val="26"/>
        </w:rPr>
        <w:t>(</w:t>
      </w:r>
      <w:r w:rsidR="00B63600" w:rsidRPr="00BE10AE">
        <w:rPr>
          <w:rFonts w:ascii="Garamond" w:hAnsi="Garamond"/>
          <w:i/>
          <w:iCs/>
          <w:sz w:val="26"/>
          <w:szCs w:val="26"/>
        </w:rPr>
        <w:t>Sandoval</w:t>
      </w:r>
      <w:r w:rsidR="00B63600" w:rsidRPr="00BE10AE">
        <w:rPr>
          <w:rFonts w:ascii="Garamond" w:hAnsi="Garamond"/>
          <w:sz w:val="26"/>
          <w:szCs w:val="26"/>
        </w:rPr>
        <w:t xml:space="preserve">, </w:t>
      </w:r>
      <w:r w:rsidR="00B63600" w:rsidRPr="00BE10AE">
        <w:rPr>
          <w:rFonts w:ascii="Garamond" w:hAnsi="Garamond"/>
          <w:i/>
          <w:iCs/>
          <w:sz w:val="26"/>
          <w:szCs w:val="26"/>
        </w:rPr>
        <w:t>supra</w:t>
      </w:r>
      <w:r w:rsidR="00B63600" w:rsidRPr="00BE10AE">
        <w:rPr>
          <w:rFonts w:ascii="Garamond" w:hAnsi="Garamond"/>
          <w:sz w:val="26"/>
          <w:szCs w:val="26"/>
        </w:rPr>
        <w:t>, 140 Cal.App.4th at p. 117.)</w:t>
      </w:r>
    </w:p>
    <w:p w14:paraId="1EA811B6" w14:textId="1F8DA4AC" w:rsidR="002C46E3" w:rsidRPr="00BE10AE" w:rsidRDefault="00207401" w:rsidP="00420C0F">
      <w:pPr>
        <w:spacing w:line="360" w:lineRule="auto"/>
        <w:ind w:firstLine="360"/>
        <w:contextualSpacing/>
        <w:rPr>
          <w:rFonts w:ascii="Garamond" w:hAnsi="Garamond"/>
          <w:sz w:val="26"/>
          <w:szCs w:val="26"/>
        </w:rPr>
      </w:pPr>
      <w:r w:rsidRPr="00BE10AE">
        <w:rPr>
          <w:rFonts w:ascii="Garamond" w:hAnsi="Garamond"/>
          <w:sz w:val="26"/>
          <w:szCs w:val="26"/>
        </w:rPr>
        <w:t xml:space="preserve">The court responded, </w:t>
      </w:r>
      <w:r w:rsidR="00345E47" w:rsidRPr="00BE10AE">
        <w:rPr>
          <w:rFonts w:ascii="Garamond" w:hAnsi="Garamond"/>
          <w:sz w:val="26"/>
          <w:szCs w:val="26"/>
        </w:rPr>
        <w:t>“</w:t>
      </w:r>
      <w:r w:rsidR="00F72477" w:rsidRPr="00BE10AE">
        <w:rPr>
          <w:rFonts w:ascii="Garamond" w:hAnsi="Garamond"/>
          <w:sz w:val="26"/>
          <w:szCs w:val="26"/>
        </w:rPr>
        <w:t>Oh, yes. But the catch is, I mean, assuming for the moment—I</w:t>
      </w:r>
      <w:r w:rsidR="00345E47" w:rsidRPr="00BE10AE">
        <w:rPr>
          <w:rFonts w:ascii="Garamond" w:hAnsi="Garamond"/>
          <w:sz w:val="26"/>
          <w:szCs w:val="26"/>
        </w:rPr>
        <w:t>’</w:t>
      </w:r>
      <w:r w:rsidR="00F72477" w:rsidRPr="00BE10AE">
        <w:rPr>
          <w:rFonts w:ascii="Garamond" w:hAnsi="Garamond"/>
          <w:sz w:val="26"/>
          <w:szCs w:val="26"/>
        </w:rPr>
        <w:t>m going to assume, based on the transcript, this is gang activity. They</w:t>
      </w:r>
      <w:r w:rsidR="00345E47" w:rsidRPr="00BE10AE">
        <w:rPr>
          <w:rFonts w:ascii="Garamond" w:hAnsi="Garamond"/>
          <w:sz w:val="26"/>
          <w:szCs w:val="26"/>
        </w:rPr>
        <w:t>’</w:t>
      </w:r>
      <w:r w:rsidR="00F72477" w:rsidRPr="00BE10AE">
        <w:rPr>
          <w:rFonts w:ascii="Garamond" w:hAnsi="Garamond"/>
          <w:sz w:val="26"/>
          <w:szCs w:val="26"/>
        </w:rPr>
        <w:t>re choosing to stick together in the sense of that</w:t>
      </w:r>
      <w:r w:rsidR="00345E47" w:rsidRPr="00BE10AE">
        <w:rPr>
          <w:rFonts w:ascii="Garamond" w:hAnsi="Garamond"/>
          <w:sz w:val="26"/>
          <w:szCs w:val="26"/>
        </w:rPr>
        <w:t>’</w:t>
      </w:r>
      <w:r w:rsidR="00F72477" w:rsidRPr="00BE10AE">
        <w:rPr>
          <w:rFonts w:ascii="Garamond" w:hAnsi="Garamond"/>
          <w:sz w:val="26"/>
          <w:szCs w:val="26"/>
        </w:rPr>
        <w:t>s the culture.</w:t>
      </w:r>
      <w:r w:rsidR="00345E47" w:rsidRPr="00BE10AE">
        <w:rPr>
          <w:rFonts w:ascii="Garamond" w:hAnsi="Garamond"/>
          <w:sz w:val="26"/>
          <w:szCs w:val="26"/>
        </w:rPr>
        <w:t>”</w:t>
      </w:r>
      <w:r w:rsidR="00F72477" w:rsidRPr="00BE10AE">
        <w:rPr>
          <w:rFonts w:ascii="Garamond" w:hAnsi="Garamond"/>
          <w:sz w:val="26"/>
          <w:szCs w:val="26"/>
        </w:rPr>
        <w:t xml:space="preserve"> </w:t>
      </w:r>
      <w:r w:rsidR="00EB3992" w:rsidRPr="00BE10AE">
        <w:rPr>
          <w:rFonts w:ascii="Garamond" w:hAnsi="Garamond"/>
          <w:sz w:val="26"/>
          <w:szCs w:val="26"/>
        </w:rPr>
        <w:t>(</w:t>
      </w:r>
      <w:r w:rsidR="00EB3992" w:rsidRPr="00BE10AE">
        <w:rPr>
          <w:rFonts w:ascii="Garamond" w:hAnsi="Garamond"/>
          <w:i/>
          <w:iCs/>
          <w:sz w:val="26"/>
          <w:szCs w:val="26"/>
        </w:rPr>
        <w:t>Sandoval</w:t>
      </w:r>
      <w:r w:rsidR="00EB3992" w:rsidRPr="00BE10AE">
        <w:rPr>
          <w:rFonts w:ascii="Garamond" w:hAnsi="Garamond"/>
          <w:sz w:val="26"/>
          <w:szCs w:val="26"/>
        </w:rPr>
        <w:t xml:space="preserve">, </w:t>
      </w:r>
      <w:r w:rsidR="00EB3992" w:rsidRPr="00BE10AE">
        <w:rPr>
          <w:rFonts w:ascii="Garamond" w:hAnsi="Garamond"/>
          <w:i/>
          <w:iCs/>
          <w:sz w:val="26"/>
          <w:szCs w:val="26"/>
        </w:rPr>
        <w:t>supra</w:t>
      </w:r>
      <w:r w:rsidR="00EB3992" w:rsidRPr="00BE10AE">
        <w:rPr>
          <w:rFonts w:ascii="Garamond" w:hAnsi="Garamond"/>
          <w:sz w:val="26"/>
          <w:szCs w:val="26"/>
        </w:rPr>
        <w:t>, 140 Cal.App.4th at pp. 117-118.)</w:t>
      </w:r>
    </w:p>
    <w:p w14:paraId="058DF9E9" w14:textId="6FEC796E" w:rsidR="00753E10" w:rsidRPr="00BE10AE" w:rsidRDefault="002D4FEC" w:rsidP="00420C0F">
      <w:pPr>
        <w:spacing w:line="360" w:lineRule="auto"/>
        <w:ind w:firstLine="360"/>
        <w:contextualSpacing/>
        <w:rPr>
          <w:rFonts w:ascii="Garamond" w:hAnsi="Garamond"/>
          <w:sz w:val="26"/>
          <w:szCs w:val="26"/>
        </w:rPr>
      </w:pPr>
      <w:r w:rsidRPr="00BE10AE">
        <w:rPr>
          <w:rFonts w:ascii="Garamond" w:hAnsi="Garamond"/>
          <w:sz w:val="26"/>
          <w:szCs w:val="26"/>
        </w:rPr>
        <w:t>One of the co-defendant’s attorneys</w:t>
      </w:r>
      <w:r w:rsidR="00F72477" w:rsidRPr="00BE10AE">
        <w:rPr>
          <w:rFonts w:ascii="Garamond" w:hAnsi="Garamond"/>
          <w:sz w:val="26"/>
          <w:szCs w:val="26"/>
        </w:rPr>
        <w:t xml:space="preserve"> suggested that</w:t>
      </w:r>
      <w:r w:rsidR="00452790" w:rsidRPr="00BE10AE">
        <w:rPr>
          <w:rFonts w:ascii="Garamond" w:hAnsi="Garamond"/>
          <w:sz w:val="26"/>
          <w:szCs w:val="26"/>
        </w:rPr>
        <w:t>,</w:t>
      </w:r>
      <w:r w:rsidR="00F72477" w:rsidRPr="00BE10AE">
        <w:rPr>
          <w:rFonts w:ascii="Garamond" w:hAnsi="Garamond"/>
          <w:sz w:val="26"/>
          <w:szCs w:val="26"/>
        </w:rPr>
        <w:t xml:space="preserve"> perhaps</w:t>
      </w:r>
      <w:r w:rsidR="00452790" w:rsidRPr="00BE10AE">
        <w:rPr>
          <w:rFonts w:ascii="Garamond" w:hAnsi="Garamond"/>
          <w:sz w:val="26"/>
          <w:szCs w:val="26"/>
        </w:rPr>
        <w:t>,</w:t>
      </w:r>
      <w:r w:rsidR="00F72477" w:rsidRPr="00BE10AE">
        <w:rPr>
          <w:rFonts w:ascii="Garamond" w:hAnsi="Garamond"/>
          <w:sz w:val="26"/>
          <w:szCs w:val="26"/>
        </w:rPr>
        <w:t xml:space="preserve"> if the co-defendants were willing to testify against Sandoval, the prosecutor would break up the package deal. </w:t>
      </w:r>
      <w:r w:rsidRPr="00BE10AE">
        <w:rPr>
          <w:rFonts w:ascii="Garamond" w:hAnsi="Garamond"/>
          <w:sz w:val="26"/>
          <w:szCs w:val="26"/>
        </w:rPr>
        <w:t>(</w:t>
      </w:r>
      <w:r w:rsidRPr="00BE10AE">
        <w:rPr>
          <w:rFonts w:ascii="Garamond" w:hAnsi="Garamond"/>
          <w:i/>
          <w:iCs/>
          <w:sz w:val="26"/>
          <w:szCs w:val="26"/>
        </w:rPr>
        <w:t>Sandoval</w:t>
      </w:r>
      <w:r w:rsidRPr="00BE10AE">
        <w:rPr>
          <w:rFonts w:ascii="Garamond" w:hAnsi="Garamond"/>
          <w:sz w:val="26"/>
          <w:szCs w:val="26"/>
        </w:rPr>
        <w:t xml:space="preserve">, </w:t>
      </w:r>
      <w:r w:rsidRPr="00BE10AE">
        <w:rPr>
          <w:rFonts w:ascii="Garamond" w:hAnsi="Garamond"/>
          <w:i/>
          <w:iCs/>
          <w:sz w:val="26"/>
          <w:szCs w:val="26"/>
        </w:rPr>
        <w:t>supra</w:t>
      </w:r>
      <w:r w:rsidRPr="00BE10AE">
        <w:rPr>
          <w:rFonts w:ascii="Garamond" w:hAnsi="Garamond"/>
          <w:sz w:val="26"/>
          <w:szCs w:val="26"/>
        </w:rPr>
        <w:t xml:space="preserve">, 140 Cal.App.4th at p. 118.) </w:t>
      </w:r>
      <w:r w:rsidR="003B36DF" w:rsidRPr="00BE10AE">
        <w:rPr>
          <w:rFonts w:ascii="Garamond" w:hAnsi="Garamond"/>
          <w:sz w:val="26"/>
          <w:szCs w:val="26"/>
        </w:rPr>
        <w:t xml:space="preserve">The prosecutor said he might be willing to do </w:t>
      </w:r>
      <w:r w:rsidR="00452790" w:rsidRPr="00BE10AE">
        <w:rPr>
          <w:rFonts w:ascii="Garamond" w:hAnsi="Garamond"/>
          <w:sz w:val="26"/>
          <w:szCs w:val="26"/>
        </w:rPr>
        <w:t>that</w:t>
      </w:r>
      <w:r w:rsidR="003B36DF" w:rsidRPr="00BE10AE">
        <w:rPr>
          <w:rFonts w:ascii="Garamond" w:hAnsi="Garamond"/>
          <w:sz w:val="26"/>
          <w:szCs w:val="26"/>
        </w:rPr>
        <w:t xml:space="preserve">, </w:t>
      </w:r>
      <w:r w:rsidR="00452790" w:rsidRPr="00BE10AE">
        <w:rPr>
          <w:rFonts w:ascii="Garamond" w:hAnsi="Garamond"/>
          <w:sz w:val="26"/>
          <w:szCs w:val="26"/>
        </w:rPr>
        <w:t>so</w:t>
      </w:r>
      <w:r w:rsidR="003B36DF" w:rsidRPr="00BE10AE">
        <w:rPr>
          <w:rFonts w:ascii="Garamond" w:hAnsi="Garamond"/>
          <w:sz w:val="26"/>
          <w:szCs w:val="26"/>
        </w:rPr>
        <w:t xml:space="preserve"> the court held chambers conferences with each of the defendants. </w:t>
      </w:r>
      <w:r w:rsidRPr="00BE10AE">
        <w:rPr>
          <w:rFonts w:ascii="Garamond" w:hAnsi="Garamond"/>
          <w:sz w:val="26"/>
          <w:szCs w:val="26"/>
        </w:rPr>
        <w:t>(</w:t>
      </w:r>
      <w:r w:rsidRPr="00BE10AE">
        <w:rPr>
          <w:rFonts w:ascii="Garamond" w:hAnsi="Garamond"/>
          <w:i/>
          <w:iCs/>
          <w:sz w:val="26"/>
          <w:szCs w:val="26"/>
        </w:rPr>
        <w:t>Ibid</w:t>
      </w:r>
      <w:r w:rsidRPr="00BE10AE">
        <w:rPr>
          <w:rFonts w:ascii="Garamond" w:hAnsi="Garamond"/>
          <w:sz w:val="26"/>
          <w:szCs w:val="26"/>
        </w:rPr>
        <w:t xml:space="preserve">.) </w:t>
      </w:r>
      <w:r w:rsidR="00640EB9" w:rsidRPr="00BE10AE">
        <w:rPr>
          <w:rFonts w:ascii="Garamond" w:hAnsi="Garamond"/>
          <w:sz w:val="26"/>
          <w:szCs w:val="26"/>
        </w:rPr>
        <w:t>In the chambers conferences, the judge pondered whether there was anything anyone could do convince Sandoval to plead</w:t>
      </w:r>
      <w:r w:rsidR="00753E10" w:rsidRPr="00BE10AE">
        <w:rPr>
          <w:rFonts w:ascii="Garamond" w:hAnsi="Garamond"/>
          <w:sz w:val="26"/>
          <w:szCs w:val="26"/>
        </w:rPr>
        <w:t>, and t</w:t>
      </w:r>
      <w:r w:rsidR="00260E45" w:rsidRPr="00BE10AE">
        <w:rPr>
          <w:rFonts w:ascii="Garamond" w:hAnsi="Garamond"/>
          <w:sz w:val="26"/>
          <w:szCs w:val="26"/>
        </w:rPr>
        <w:t>he court reiterated that</w:t>
      </w:r>
      <w:r w:rsidR="00697CC3" w:rsidRPr="00BE10AE">
        <w:rPr>
          <w:rFonts w:ascii="Garamond" w:hAnsi="Garamond"/>
          <w:sz w:val="26"/>
          <w:szCs w:val="26"/>
        </w:rPr>
        <w:t xml:space="preserve">, in her mind, </w:t>
      </w:r>
      <w:r w:rsidR="00260E45" w:rsidRPr="00BE10AE">
        <w:rPr>
          <w:rFonts w:ascii="Garamond" w:hAnsi="Garamond"/>
          <w:sz w:val="26"/>
          <w:szCs w:val="26"/>
        </w:rPr>
        <w:t xml:space="preserve">the offers were </w:t>
      </w:r>
      <w:r w:rsidR="00345E47" w:rsidRPr="00BE10AE">
        <w:rPr>
          <w:rFonts w:ascii="Garamond" w:hAnsi="Garamond"/>
          <w:sz w:val="26"/>
          <w:szCs w:val="26"/>
        </w:rPr>
        <w:t>“</w:t>
      </w:r>
      <w:r w:rsidR="00260E45" w:rsidRPr="00BE10AE">
        <w:rPr>
          <w:rFonts w:ascii="Garamond" w:hAnsi="Garamond"/>
          <w:sz w:val="26"/>
          <w:szCs w:val="26"/>
        </w:rPr>
        <w:t>amazing.</w:t>
      </w:r>
      <w:r w:rsidR="00345E47" w:rsidRPr="00BE10AE">
        <w:rPr>
          <w:rFonts w:ascii="Garamond" w:hAnsi="Garamond"/>
          <w:sz w:val="26"/>
          <w:szCs w:val="26"/>
        </w:rPr>
        <w:t>”</w:t>
      </w:r>
      <w:r w:rsidR="00260E45" w:rsidRPr="00BE10AE">
        <w:rPr>
          <w:rFonts w:ascii="Garamond" w:hAnsi="Garamond"/>
          <w:sz w:val="26"/>
          <w:szCs w:val="26"/>
        </w:rPr>
        <w:t xml:space="preserve"> </w:t>
      </w:r>
      <w:r w:rsidRPr="00BE10AE">
        <w:rPr>
          <w:rFonts w:ascii="Garamond" w:hAnsi="Garamond"/>
          <w:sz w:val="26"/>
          <w:szCs w:val="26"/>
        </w:rPr>
        <w:t>(</w:t>
      </w:r>
      <w:r w:rsidRPr="00BE10AE">
        <w:rPr>
          <w:rFonts w:ascii="Garamond" w:hAnsi="Garamond"/>
          <w:i/>
          <w:iCs/>
          <w:sz w:val="26"/>
          <w:szCs w:val="26"/>
        </w:rPr>
        <w:t>Ibid</w:t>
      </w:r>
      <w:r w:rsidRPr="00BE10AE">
        <w:rPr>
          <w:rFonts w:ascii="Garamond" w:hAnsi="Garamond"/>
          <w:sz w:val="26"/>
          <w:szCs w:val="26"/>
        </w:rPr>
        <w:t>.)</w:t>
      </w:r>
    </w:p>
    <w:p w14:paraId="179DF575" w14:textId="0C7BFB98" w:rsidR="00207401" w:rsidRPr="00BE10AE" w:rsidRDefault="00D83B5A" w:rsidP="00420C0F">
      <w:pPr>
        <w:spacing w:line="360" w:lineRule="auto"/>
        <w:ind w:firstLine="360"/>
        <w:contextualSpacing/>
        <w:rPr>
          <w:rFonts w:ascii="Garamond" w:hAnsi="Garamond"/>
          <w:sz w:val="26"/>
          <w:szCs w:val="26"/>
        </w:rPr>
      </w:pPr>
      <w:r w:rsidRPr="00BE10AE">
        <w:rPr>
          <w:rFonts w:ascii="Garamond" w:hAnsi="Garamond"/>
          <w:sz w:val="26"/>
          <w:szCs w:val="26"/>
        </w:rPr>
        <w:t xml:space="preserve">After the chambers conferences, the court said, </w:t>
      </w:r>
      <w:r w:rsidR="00345E47" w:rsidRPr="00BE10AE">
        <w:rPr>
          <w:rFonts w:ascii="Garamond" w:hAnsi="Garamond"/>
          <w:sz w:val="26"/>
          <w:szCs w:val="26"/>
        </w:rPr>
        <w:t>“</w:t>
      </w:r>
      <w:r w:rsidR="00127E3E" w:rsidRPr="00BE10AE">
        <w:rPr>
          <w:rFonts w:ascii="Garamond" w:hAnsi="Garamond"/>
          <w:sz w:val="26"/>
          <w:szCs w:val="26"/>
        </w:rPr>
        <w:t>So, I</w:t>
      </w:r>
      <w:r w:rsidR="00345E47" w:rsidRPr="00BE10AE">
        <w:rPr>
          <w:rFonts w:ascii="Garamond" w:hAnsi="Garamond"/>
          <w:sz w:val="26"/>
          <w:szCs w:val="26"/>
        </w:rPr>
        <w:t>’</w:t>
      </w:r>
      <w:r w:rsidR="00127E3E" w:rsidRPr="00BE10AE">
        <w:rPr>
          <w:rFonts w:ascii="Garamond" w:hAnsi="Garamond"/>
          <w:sz w:val="26"/>
          <w:szCs w:val="26"/>
        </w:rPr>
        <w:t>m just not sure there</w:t>
      </w:r>
      <w:r w:rsidR="00345E47" w:rsidRPr="00BE10AE">
        <w:rPr>
          <w:rFonts w:ascii="Garamond" w:hAnsi="Garamond"/>
          <w:sz w:val="26"/>
          <w:szCs w:val="26"/>
        </w:rPr>
        <w:t>’</w:t>
      </w:r>
      <w:r w:rsidR="00127E3E" w:rsidRPr="00BE10AE">
        <w:rPr>
          <w:rFonts w:ascii="Garamond" w:hAnsi="Garamond"/>
          <w:sz w:val="26"/>
          <w:szCs w:val="26"/>
        </w:rPr>
        <w:t>s a whole lot we can do</w:t>
      </w:r>
      <w:r w:rsidR="0022649D" w:rsidRPr="00BE10AE">
        <w:rPr>
          <w:rFonts w:ascii="Garamond" w:hAnsi="Garamond"/>
          <w:sz w:val="26"/>
          <w:szCs w:val="26"/>
        </w:rPr>
        <w:t>,</w:t>
      </w:r>
      <w:r w:rsidR="00345E47" w:rsidRPr="00BE10AE">
        <w:rPr>
          <w:rFonts w:ascii="Garamond" w:hAnsi="Garamond"/>
          <w:sz w:val="26"/>
          <w:szCs w:val="26"/>
        </w:rPr>
        <w:t>”</w:t>
      </w:r>
      <w:r w:rsidR="0022649D" w:rsidRPr="00BE10AE">
        <w:rPr>
          <w:rFonts w:ascii="Garamond" w:hAnsi="Garamond"/>
          <w:sz w:val="26"/>
          <w:szCs w:val="26"/>
        </w:rPr>
        <w:t xml:space="preserve"> and s</w:t>
      </w:r>
      <w:r w:rsidR="00A740A5" w:rsidRPr="00BE10AE">
        <w:rPr>
          <w:rFonts w:ascii="Garamond" w:hAnsi="Garamond"/>
          <w:sz w:val="26"/>
          <w:szCs w:val="26"/>
        </w:rPr>
        <w:t xml:space="preserve">he put a deadline of 5:00 p.m. the next day for </w:t>
      </w:r>
      <w:r w:rsidR="00753E10" w:rsidRPr="00BE10AE">
        <w:rPr>
          <w:rFonts w:ascii="Garamond" w:hAnsi="Garamond"/>
          <w:sz w:val="26"/>
          <w:szCs w:val="26"/>
        </w:rPr>
        <w:t>the defendants to take</w:t>
      </w:r>
      <w:r w:rsidR="00BC4FF3" w:rsidRPr="00BE10AE">
        <w:rPr>
          <w:rFonts w:ascii="Garamond" w:hAnsi="Garamond"/>
          <w:sz w:val="26"/>
          <w:szCs w:val="26"/>
        </w:rPr>
        <w:t xml:space="preserve"> the</w:t>
      </w:r>
      <w:r w:rsidR="00A40B6B" w:rsidRPr="00BE10AE">
        <w:rPr>
          <w:rFonts w:ascii="Garamond" w:hAnsi="Garamond"/>
          <w:sz w:val="26"/>
          <w:szCs w:val="26"/>
        </w:rPr>
        <w:t xml:space="preserve"> </w:t>
      </w:r>
      <w:r w:rsidR="00345E47" w:rsidRPr="00BE10AE">
        <w:rPr>
          <w:rFonts w:ascii="Garamond" w:hAnsi="Garamond"/>
          <w:sz w:val="26"/>
          <w:szCs w:val="26"/>
        </w:rPr>
        <w:t>“</w:t>
      </w:r>
      <w:r w:rsidR="00A40B6B" w:rsidRPr="00BE10AE">
        <w:rPr>
          <w:rFonts w:ascii="Garamond" w:hAnsi="Garamond"/>
          <w:sz w:val="26"/>
          <w:szCs w:val="26"/>
        </w:rPr>
        <w:t>amazingly good offer.</w:t>
      </w:r>
      <w:r w:rsidR="00345E47" w:rsidRPr="00BE10AE">
        <w:rPr>
          <w:rFonts w:ascii="Garamond" w:hAnsi="Garamond"/>
          <w:sz w:val="26"/>
          <w:szCs w:val="26"/>
        </w:rPr>
        <w:t>”</w:t>
      </w:r>
      <w:r w:rsidR="000C3970" w:rsidRPr="00BE10AE">
        <w:rPr>
          <w:rFonts w:ascii="Garamond" w:hAnsi="Garamond"/>
          <w:sz w:val="26"/>
          <w:szCs w:val="26"/>
        </w:rPr>
        <w:t xml:space="preserve"> (</w:t>
      </w:r>
      <w:r w:rsidR="000C3970" w:rsidRPr="00BE10AE">
        <w:rPr>
          <w:rFonts w:ascii="Garamond" w:hAnsi="Garamond"/>
          <w:i/>
          <w:iCs/>
          <w:sz w:val="26"/>
          <w:szCs w:val="26"/>
        </w:rPr>
        <w:t>Sandoval</w:t>
      </w:r>
      <w:r w:rsidR="000C3970" w:rsidRPr="00BE10AE">
        <w:rPr>
          <w:rFonts w:ascii="Garamond" w:hAnsi="Garamond"/>
          <w:sz w:val="26"/>
          <w:szCs w:val="26"/>
        </w:rPr>
        <w:t xml:space="preserve">, </w:t>
      </w:r>
      <w:r w:rsidR="000C3970" w:rsidRPr="00BE10AE">
        <w:rPr>
          <w:rFonts w:ascii="Garamond" w:hAnsi="Garamond"/>
          <w:i/>
          <w:iCs/>
          <w:sz w:val="26"/>
          <w:szCs w:val="26"/>
        </w:rPr>
        <w:t>supra</w:t>
      </w:r>
      <w:r w:rsidR="000C3970" w:rsidRPr="00BE10AE">
        <w:rPr>
          <w:rFonts w:ascii="Garamond" w:hAnsi="Garamond"/>
          <w:sz w:val="26"/>
          <w:szCs w:val="26"/>
        </w:rPr>
        <w:t xml:space="preserve">, 140 Cal.App.4th at p. 119.) </w:t>
      </w:r>
      <w:r w:rsidR="00A40B6B" w:rsidRPr="00BE10AE">
        <w:rPr>
          <w:rFonts w:ascii="Garamond" w:hAnsi="Garamond"/>
          <w:sz w:val="26"/>
          <w:szCs w:val="26"/>
        </w:rPr>
        <w:t xml:space="preserve"> </w:t>
      </w:r>
      <w:r w:rsidR="00A2737D" w:rsidRPr="00BE10AE">
        <w:rPr>
          <w:rFonts w:ascii="Garamond" w:hAnsi="Garamond"/>
          <w:sz w:val="26"/>
          <w:szCs w:val="26"/>
        </w:rPr>
        <w:t>She continued</w:t>
      </w:r>
      <w:r w:rsidR="00F02771" w:rsidRPr="00BE10AE">
        <w:rPr>
          <w:rFonts w:ascii="Garamond" w:hAnsi="Garamond"/>
          <w:sz w:val="26"/>
          <w:szCs w:val="26"/>
        </w:rPr>
        <w:t xml:space="preserve"> to say that the </w:t>
      </w:r>
      <w:r w:rsidR="00345E47" w:rsidRPr="00BE10AE">
        <w:rPr>
          <w:rFonts w:ascii="Garamond" w:hAnsi="Garamond"/>
          <w:sz w:val="26"/>
          <w:szCs w:val="26"/>
        </w:rPr>
        <w:t>“</w:t>
      </w:r>
      <w:r w:rsidR="00F02771" w:rsidRPr="00BE10AE">
        <w:rPr>
          <w:rFonts w:ascii="Garamond" w:hAnsi="Garamond"/>
          <w:sz w:val="26"/>
          <w:szCs w:val="26"/>
        </w:rPr>
        <w:t>offer is exceptionally good</w:t>
      </w:r>
      <w:r w:rsidR="00345E47" w:rsidRPr="00BE10AE">
        <w:rPr>
          <w:rFonts w:ascii="Garamond" w:hAnsi="Garamond"/>
          <w:sz w:val="26"/>
          <w:szCs w:val="26"/>
        </w:rPr>
        <w:t>”</w:t>
      </w:r>
      <w:r w:rsidR="00F02771" w:rsidRPr="00BE10AE">
        <w:rPr>
          <w:rFonts w:ascii="Garamond" w:hAnsi="Garamond"/>
          <w:sz w:val="26"/>
          <w:szCs w:val="26"/>
        </w:rPr>
        <w:t xml:space="preserve"> and </w:t>
      </w:r>
      <w:r w:rsidR="00345E47" w:rsidRPr="00BE10AE">
        <w:rPr>
          <w:rFonts w:ascii="Garamond" w:hAnsi="Garamond"/>
          <w:sz w:val="26"/>
          <w:szCs w:val="26"/>
        </w:rPr>
        <w:t>“</w:t>
      </w:r>
      <w:r w:rsidR="00F02771" w:rsidRPr="00BE10AE">
        <w:rPr>
          <w:rFonts w:ascii="Garamond" w:hAnsi="Garamond"/>
          <w:sz w:val="26"/>
          <w:szCs w:val="26"/>
        </w:rPr>
        <w:t>really low</w:t>
      </w:r>
      <w:r w:rsidR="00345E47" w:rsidRPr="00BE10AE">
        <w:rPr>
          <w:rFonts w:ascii="Garamond" w:hAnsi="Garamond"/>
          <w:sz w:val="26"/>
          <w:szCs w:val="26"/>
        </w:rPr>
        <w:t>”</w:t>
      </w:r>
      <w:r w:rsidR="00F02771" w:rsidRPr="00BE10AE">
        <w:rPr>
          <w:rFonts w:ascii="Garamond" w:hAnsi="Garamond"/>
          <w:sz w:val="26"/>
          <w:szCs w:val="26"/>
        </w:rPr>
        <w:t xml:space="preserve"> considering the evidence. </w:t>
      </w:r>
      <w:r w:rsidR="00EB318C" w:rsidRPr="00BE10AE">
        <w:rPr>
          <w:rFonts w:ascii="Garamond" w:hAnsi="Garamond"/>
          <w:sz w:val="26"/>
          <w:szCs w:val="26"/>
        </w:rPr>
        <w:t>(</w:t>
      </w:r>
      <w:r w:rsidR="00EB318C" w:rsidRPr="00BE10AE">
        <w:rPr>
          <w:rFonts w:ascii="Garamond" w:hAnsi="Garamond"/>
          <w:i/>
          <w:iCs/>
          <w:sz w:val="26"/>
          <w:szCs w:val="26"/>
        </w:rPr>
        <w:t>Ibid</w:t>
      </w:r>
      <w:r w:rsidR="00EB318C" w:rsidRPr="00BE10AE">
        <w:rPr>
          <w:rFonts w:ascii="Garamond" w:hAnsi="Garamond"/>
          <w:sz w:val="26"/>
          <w:szCs w:val="26"/>
        </w:rPr>
        <w:t xml:space="preserve">.) </w:t>
      </w:r>
      <w:r w:rsidR="00F02771" w:rsidRPr="00BE10AE">
        <w:rPr>
          <w:rFonts w:ascii="Garamond" w:hAnsi="Garamond"/>
          <w:sz w:val="26"/>
          <w:szCs w:val="26"/>
        </w:rPr>
        <w:t xml:space="preserve">She </w:t>
      </w:r>
      <w:r w:rsidR="000C07EE" w:rsidRPr="00BE10AE">
        <w:rPr>
          <w:rFonts w:ascii="Garamond" w:hAnsi="Garamond"/>
          <w:sz w:val="26"/>
          <w:szCs w:val="26"/>
        </w:rPr>
        <w:t>added</w:t>
      </w:r>
      <w:r w:rsidR="00A12AE6" w:rsidRPr="00BE10AE">
        <w:rPr>
          <w:rFonts w:ascii="Garamond" w:hAnsi="Garamond"/>
          <w:sz w:val="26"/>
          <w:szCs w:val="26"/>
        </w:rPr>
        <w:t xml:space="preserve">, </w:t>
      </w:r>
      <w:r w:rsidR="00345E47" w:rsidRPr="00BE10AE">
        <w:rPr>
          <w:rFonts w:ascii="Garamond" w:hAnsi="Garamond"/>
          <w:sz w:val="26"/>
          <w:szCs w:val="26"/>
        </w:rPr>
        <w:t>“</w:t>
      </w:r>
      <w:r w:rsidR="00A12AE6" w:rsidRPr="00BE10AE">
        <w:rPr>
          <w:rFonts w:ascii="Garamond" w:hAnsi="Garamond"/>
          <w:sz w:val="26"/>
          <w:szCs w:val="26"/>
        </w:rPr>
        <w:t>[T]here</w:t>
      </w:r>
      <w:r w:rsidR="00345E47" w:rsidRPr="00BE10AE">
        <w:rPr>
          <w:rFonts w:ascii="Garamond" w:hAnsi="Garamond"/>
          <w:sz w:val="26"/>
          <w:szCs w:val="26"/>
        </w:rPr>
        <w:t>’</w:t>
      </w:r>
      <w:r w:rsidR="00A12AE6" w:rsidRPr="00BE10AE">
        <w:rPr>
          <w:rFonts w:ascii="Garamond" w:hAnsi="Garamond"/>
          <w:sz w:val="26"/>
          <w:szCs w:val="26"/>
        </w:rPr>
        <w:t>s more than sufficient evidence for the jury to convict each and every one of the defendants.</w:t>
      </w:r>
      <w:r w:rsidR="00345E47" w:rsidRPr="00BE10AE">
        <w:rPr>
          <w:rFonts w:ascii="Garamond" w:hAnsi="Garamond"/>
          <w:sz w:val="26"/>
          <w:szCs w:val="26"/>
        </w:rPr>
        <w:t>”</w:t>
      </w:r>
      <w:r w:rsidR="00A12AE6" w:rsidRPr="00BE10AE">
        <w:rPr>
          <w:rFonts w:ascii="Garamond" w:hAnsi="Garamond"/>
          <w:sz w:val="26"/>
          <w:szCs w:val="26"/>
        </w:rPr>
        <w:t xml:space="preserve"> </w:t>
      </w:r>
      <w:r w:rsidR="00EB318C" w:rsidRPr="00BE10AE">
        <w:rPr>
          <w:rFonts w:ascii="Garamond" w:hAnsi="Garamond"/>
          <w:sz w:val="26"/>
          <w:szCs w:val="26"/>
        </w:rPr>
        <w:t>(</w:t>
      </w:r>
      <w:r w:rsidR="00EB318C" w:rsidRPr="00BE10AE">
        <w:rPr>
          <w:rFonts w:ascii="Garamond" w:hAnsi="Garamond"/>
          <w:i/>
          <w:iCs/>
          <w:sz w:val="26"/>
          <w:szCs w:val="26"/>
        </w:rPr>
        <w:t>Ibid</w:t>
      </w:r>
      <w:r w:rsidR="00EB318C" w:rsidRPr="00BE10AE">
        <w:rPr>
          <w:rFonts w:ascii="Garamond" w:hAnsi="Garamond"/>
          <w:sz w:val="26"/>
          <w:szCs w:val="26"/>
        </w:rPr>
        <w:t>.)</w:t>
      </w:r>
    </w:p>
    <w:p w14:paraId="629A19D5" w14:textId="58B379B8" w:rsidR="00532BD7" w:rsidRPr="00BE10AE" w:rsidRDefault="00500F4B" w:rsidP="00420C0F">
      <w:pPr>
        <w:spacing w:line="360" w:lineRule="auto"/>
        <w:ind w:firstLine="360"/>
        <w:contextualSpacing/>
        <w:rPr>
          <w:rFonts w:ascii="Garamond" w:hAnsi="Garamond"/>
          <w:sz w:val="26"/>
          <w:szCs w:val="26"/>
        </w:rPr>
      </w:pPr>
      <w:r w:rsidRPr="00BE10AE">
        <w:rPr>
          <w:rFonts w:ascii="Garamond" w:hAnsi="Garamond"/>
          <w:sz w:val="26"/>
          <w:szCs w:val="26"/>
        </w:rPr>
        <w:t xml:space="preserve">The judge </w:t>
      </w:r>
      <w:r w:rsidR="000C07EE" w:rsidRPr="00BE10AE">
        <w:rPr>
          <w:rFonts w:ascii="Garamond" w:hAnsi="Garamond"/>
          <w:sz w:val="26"/>
          <w:szCs w:val="26"/>
        </w:rPr>
        <w:t xml:space="preserve">also </w:t>
      </w:r>
      <w:r w:rsidRPr="00BE10AE">
        <w:rPr>
          <w:rFonts w:ascii="Garamond" w:hAnsi="Garamond"/>
          <w:sz w:val="26"/>
          <w:szCs w:val="26"/>
        </w:rPr>
        <w:t>expressed sympathy for Sandoval</w:t>
      </w:r>
      <w:r w:rsidR="00345E47" w:rsidRPr="00BE10AE">
        <w:rPr>
          <w:rFonts w:ascii="Garamond" w:hAnsi="Garamond"/>
          <w:sz w:val="26"/>
          <w:szCs w:val="26"/>
        </w:rPr>
        <w:t>’</w:t>
      </w:r>
      <w:r w:rsidRPr="00BE10AE">
        <w:rPr>
          <w:rFonts w:ascii="Garamond" w:hAnsi="Garamond"/>
          <w:sz w:val="26"/>
          <w:szCs w:val="26"/>
        </w:rPr>
        <w:t>s three co-defendants</w:t>
      </w:r>
      <w:r w:rsidR="00532BD7" w:rsidRPr="00BE10AE">
        <w:rPr>
          <w:rFonts w:ascii="Garamond" w:hAnsi="Garamond"/>
          <w:sz w:val="26"/>
          <w:szCs w:val="26"/>
        </w:rPr>
        <w:t>. She</w:t>
      </w:r>
      <w:r w:rsidR="00394A6A" w:rsidRPr="00BE10AE">
        <w:rPr>
          <w:rFonts w:ascii="Garamond" w:hAnsi="Garamond"/>
          <w:sz w:val="26"/>
          <w:szCs w:val="26"/>
        </w:rPr>
        <w:t xml:space="preserve"> said that</w:t>
      </w:r>
      <w:r w:rsidR="00532BD7" w:rsidRPr="00BE10AE">
        <w:rPr>
          <w:rFonts w:ascii="Garamond" w:hAnsi="Garamond"/>
          <w:sz w:val="26"/>
          <w:szCs w:val="26"/>
        </w:rPr>
        <w:t xml:space="preserve"> it</w:t>
      </w:r>
      <w:r w:rsidR="00345E47" w:rsidRPr="00BE10AE">
        <w:rPr>
          <w:rFonts w:ascii="Garamond" w:hAnsi="Garamond"/>
          <w:sz w:val="26"/>
          <w:szCs w:val="26"/>
        </w:rPr>
        <w:t>’</w:t>
      </w:r>
      <w:r w:rsidR="00532BD7" w:rsidRPr="00BE10AE">
        <w:rPr>
          <w:rFonts w:ascii="Garamond" w:hAnsi="Garamond"/>
          <w:sz w:val="26"/>
          <w:szCs w:val="26"/>
        </w:rPr>
        <w:t xml:space="preserve">s </w:t>
      </w:r>
      <w:r w:rsidR="00345E47" w:rsidRPr="00BE10AE">
        <w:rPr>
          <w:rFonts w:ascii="Garamond" w:hAnsi="Garamond"/>
          <w:sz w:val="26"/>
          <w:szCs w:val="26"/>
        </w:rPr>
        <w:t>“</w:t>
      </w:r>
      <w:r w:rsidR="00532BD7" w:rsidRPr="00BE10AE">
        <w:rPr>
          <w:rFonts w:ascii="Garamond" w:hAnsi="Garamond"/>
          <w:sz w:val="26"/>
          <w:szCs w:val="26"/>
        </w:rPr>
        <w:t>sort of a sad situation that you</w:t>
      </w:r>
      <w:r w:rsidR="00345E47" w:rsidRPr="00BE10AE">
        <w:rPr>
          <w:rFonts w:ascii="Garamond" w:hAnsi="Garamond"/>
          <w:sz w:val="26"/>
          <w:szCs w:val="26"/>
        </w:rPr>
        <w:t>’</w:t>
      </w:r>
      <w:r w:rsidR="00532BD7" w:rsidRPr="00BE10AE">
        <w:rPr>
          <w:rFonts w:ascii="Garamond" w:hAnsi="Garamond"/>
          <w:sz w:val="26"/>
          <w:szCs w:val="26"/>
        </w:rPr>
        <w:t>re looking at spending your entire life in state prison,</w:t>
      </w:r>
      <w:r w:rsidR="00345E47" w:rsidRPr="00BE10AE">
        <w:rPr>
          <w:rFonts w:ascii="Garamond" w:hAnsi="Garamond"/>
          <w:sz w:val="26"/>
          <w:szCs w:val="26"/>
        </w:rPr>
        <w:t>”</w:t>
      </w:r>
      <w:r w:rsidR="00532BD7" w:rsidRPr="00BE10AE">
        <w:rPr>
          <w:rFonts w:ascii="Garamond" w:hAnsi="Garamond"/>
          <w:sz w:val="26"/>
          <w:szCs w:val="26"/>
        </w:rPr>
        <w:t xml:space="preserve"> and </w:t>
      </w:r>
      <w:r w:rsidR="00394A6A" w:rsidRPr="00BE10AE">
        <w:rPr>
          <w:rFonts w:ascii="Garamond" w:hAnsi="Garamond"/>
          <w:sz w:val="26"/>
          <w:szCs w:val="26"/>
        </w:rPr>
        <w:t>added</w:t>
      </w:r>
      <w:r w:rsidR="00532BD7" w:rsidRPr="00BE10AE">
        <w:rPr>
          <w:rFonts w:ascii="Garamond" w:hAnsi="Garamond"/>
          <w:sz w:val="26"/>
          <w:szCs w:val="26"/>
        </w:rPr>
        <w:t xml:space="preserve"> that Sandoval was letting down his fellow gang members by refusing to plead: </w:t>
      </w:r>
    </w:p>
    <w:p w14:paraId="054DE525" w14:textId="66EAA2C3" w:rsidR="00500F4B" w:rsidRPr="00BE10AE" w:rsidRDefault="00345E47" w:rsidP="000272F3">
      <w:pPr>
        <w:spacing w:line="240" w:lineRule="auto"/>
        <w:ind w:left="360"/>
        <w:rPr>
          <w:rFonts w:ascii="Garamond" w:hAnsi="Garamond"/>
          <w:sz w:val="26"/>
          <w:szCs w:val="26"/>
        </w:rPr>
      </w:pPr>
      <w:r w:rsidRPr="00BE10AE">
        <w:rPr>
          <w:rFonts w:ascii="Garamond" w:hAnsi="Garamond"/>
          <w:sz w:val="26"/>
          <w:szCs w:val="26"/>
        </w:rPr>
        <w:t>“</w:t>
      </w:r>
      <w:r w:rsidR="00532BD7" w:rsidRPr="00BE10AE">
        <w:rPr>
          <w:rFonts w:ascii="Garamond" w:hAnsi="Garamond"/>
          <w:sz w:val="26"/>
          <w:szCs w:val="26"/>
        </w:rPr>
        <w:t>I think maybe the three who were willing to plead are learning that maybe the gang isn</w:t>
      </w:r>
      <w:r w:rsidRPr="00BE10AE">
        <w:rPr>
          <w:rFonts w:ascii="Garamond" w:hAnsi="Garamond"/>
          <w:sz w:val="26"/>
          <w:szCs w:val="26"/>
        </w:rPr>
        <w:t>’</w:t>
      </w:r>
      <w:r w:rsidR="00532BD7" w:rsidRPr="00BE10AE">
        <w:rPr>
          <w:rFonts w:ascii="Garamond" w:hAnsi="Garamond"/>
          <w:sz w:val="26"/>
          <w:szCs w:val="26"/>
        </w:rPr>
        <w:t>t all it was cracked up to be, if someone</w:t>
      </w:r>
      <w:r w:rsidRPr="00BE10AE">
        <w:rPr>
          <w:rFonts w:ascii="Garamond" w:hAnsi="Garamond"/>
          <w:sz w:val="26"/>
          <w:szCs w:val="26"/>
        </w:rPr>
        <w:t>’</w:t>
      </w:r>
      <w:r w:rsidR="00532BD7" w:rsidRPr="00BE10AE">
        <w:rPr>
          <w:rFonts w:ascii="Garamond" w:hAnsi="Garamond"/>
          <w:sz w:val="26"/>
          <w:szCs w:val="26"/>
        </w:rPr>
        <w:t>s willing to take you down with them and you stand behind them. So despite all the voir dire about gangs having good things, they have their down sides, and 70 years in state prison, I feel for you if you</w:t>
      </w:r>
      <w:r w:rsidRPr="00BE10AE">
        <w:rPr>
          <w:rFonts w:ascii="Garamond" w:hAnsi="Garamond"/>
          <w:sz w:val="26"/>
          <w:szCs w:val="26"/>
        </w:rPr>
        <w:t>’</w:t>
      </w:r>
      <w:r w:rsidR="00532BD7" w:rsidRPr="00BE10AE">
        <w:rPr>
          <w:rFonts w:ascii="Garamond" w:hAnsi="Garamond"/>
          <w:sz w:val="26"/>
          <w:szCs w:val="26"/>
        </w:rPr>
        <w:t>re going to be spending your whole life in state prison.</w:t>
      </w:r>
      <w:r w:rsidR="00084859" w:rsidRPr="00BE10AE">
        <w:rPr>
          <w:rFonts w:ascii="Garamond" w:hAnsi="Garamond"/>
          <w:sz w:val="26"/>
          <w:szCs w:val="26"/>
        </w:rPr>
        <w:t xml:space="preserve"> </w:t>
      </w:r>
      <w:r w:rsidR="00532BD7" w:rsidRPr="00BE10AE">
        <w:rPr>
          <w:rFonts w:ascii="Garamond" w:hAnsi="Garamond"/>
          <w:sz w:val="26"/>
          <w:szCs w:val="26"/>
        </w:rPr>
        <w:t>That</w:t>
      </w:r>
      <w:r w:rsidRPr="00BE10AE">
        <w:rPr>
          <w:rFonts w:ascii="Garamond" w:hAnsi="Garamond"/>
          <w:sz w:val="26"/>
          <w:szCs w:val="26"/>
        </w:rPr>
        <w:t>’</w:t>
      </w:r>
      <w:r w:rsidR="00532BD7" w:rsidRPr="00BE10AE">
        <w:rPr>
          <w:rFonts w:ascii="Garamond" w:hAnsi="Garamond"/>
          <w:sz w:val="26"/>
          <w:szCs w:val="26"/>
        </w:rPr>
        <w:t>s a decision that each of you have made during the course of your life. As I</w:t>
      </w:r>
      <w:r w:rsidRPr="00BE10AE">
        <w:rPr>
          <w:rFonts w:ascii="Garamond" w:hAnsi="Garamond"/>
          <w:sz w:val="26"/>
          <w:szCs w:val="26"/>
        </w:rPr>
        <w:t>’</w:t>
      </w:r>
      <w:r w:rsidR="00532BD7" w:rsidRPr="00BE10AE">
        <w:rPr>
          <w:rFonts w:ascii="Garamond" w:hAnsi="Garamond"/>
          <w:sz w:val="26"/>
          <w:szCs w:val="26"/>
        </w:rPr>
        <w:t>ve said, there</w:t>
      </w:r>
      <w:r w:rsidRPr="00BE10AE">
        <w:rPr>
          <w:rFonts w:ascii="Garamond" w:hAnsi="Garamond"/>
          <w:sz w:val="26"/>
          <w:szCs w:val="26"/>
        </w:rPr>
        <w:t>’</w:t>
      </w:r>
      <w:r w:rsidR="00532BD7" w:rsidRPr="00BE10AE">
        <w:rPr>
          <w:rFonts w:ascii="Garamond" w:hAnsi="Garamond"/>
          <w:sz w:val="26"/>
          <w:szCs w:val="26"/>
        </w:rPr>
        <w:t>s nothing I can do.</w:t>
      </w:r>
      <w:r w:rsidRPr="00BE10AE">
        <w:rPr>
          <w:rFonts w:ascii="Garamond" w:hAnsi="Garamond"/>
          <w:sz w:val="26"/>
          <w:szCs w:val="26"/>
        </w:rPr>
        <w:t>”</w:t>
      </w:r>
    </w:p>
    <w:p w14:paraId="3E84F936" w14:textId="21F03A6C" w:rsidR="00084859" w:rsidRPr="00BE10AE" w:rsidRDefault="00340AF1" w:rsidP="00394A6A">
      <w:pPr>
        <w:spacing w:line="360" w:lineRule="auto"/>
        <w:contextualSpacing/>
        <w:rPr>
          <w:rFonts w:ascii="Garamond" w:hAnsi="Garamond"/>
          <w:sz w:val="26"/>
          <w:szCs w:val="26"/>
        </w:rPr>
      </w:pPr>
      <w:r w:rsidRPr="00BE10AE">
        <w:rPr>
          <w:rFonts w:ascii="Garamond" w:hAnsi="Garamond"/>
          <w:sz w:val="26"/>
          <w:szCs w:val="26"/>
        </w:rPr>
        <w:t>(</w:t>
      </w:r>
      <w:r w:rsidRPr="00BE10AE">
        <w:rPr>
          <w:rFonts w:ascii="Garamond" w:hAnsi="Garamond"/>
          <w:i/>
          <w:iCs/>
          <w:sz w:val="26"/>
          <w:szCs w:val="26"/>
        </w:rPr>
        <w:t>Sandoval</w:t>
      </w:r>
      <w:r w:rsidRPr="00BE10AE">
        <w:rPr>
          <w:rFonts w:ascii="Garamond" w:hAnsi="Garamond"/>
          <w:sz w:val="26"/>
          <w:szCs w:val="26"/>
        </w:rPr>
        <w:t xml:space="preserve">, </w:t>
      </w:r>
      <w:r w:rsidRPr="00BE10AE">
        <w:rPr>
          <w:rFonts w:ascii="Garamond" w:hAnsi="Garamond"/>
          <w:i/>
          <w:iCs/>
          <w:sz w:val="26"/>
          <w:szCs w:val="26"/>
        </w:rPr>
        <w:t>supra</w:t>
      </w:r>
      <w:r w:rsidRPr="00BE10AE">
        <w:rPr>
          <w:rFonts w:ascii="Garamond" w:hAnsi="Garamond"/>
          <w:sz w:val="26"/>
          <w:szCs w:val="26"/>
        </w:rPr>
        <w:t xml:space="preserve">, 140 Cal.App.4th at pp. 119-120.) </w:t>
      </w:r>
      <w:r w:rsidR="00B052DD" w:rsidRPr="00BE10AE">
        <w:rPr>
          <w:rFonts w:ascii="Garamond" w:hAnsi="Garamond"/>
          <w:sz w:val="26"/>
          <w:szCs w:val="26"/>
        </w:rPr>
        <w:t>One of the co-defendant</w:t>
      </w:r>
      <w:r w:rsidR="00345E47" w:rsidRPr="00BE10AE">
        <w:rPr>
          <w:rFonts w:ascii="Garamond" w:hAnsi="Garamond"/>
          <w:sz w:val="26"/>
          <w:szCs w:val="26"/>
        </w:rPr>
        <w:t>’</w:t>
      </w:r>
      <w:r w:rsidR="00B052DD" w:rsidRPr="00BE10AE">
        <w:rPr>
          <w:rFonts w:ascii="Garamond" w:hAnsi="Garamond"/>
          <w:sz w:val="26"/>
          <w:szCs w:val="26"/>
        </w:rPr>
        <w:t xml:space="preserve">s attorneys asked for a five-minute recess, which the court agreed to. </w:t>
      </w:r>
      <w:r w:rsidR="00F95F9C" w:rsidRPr="00BE10AE">
        <w:rPr>
          <w:rFonts w:ascii="Garamond" w:hAnsi="Garamond"/>
          <w:sz w:val="26"/>
          <w:szCs w:val="26"/>
        </w:rPr>
        <w:t>(</w:t>
      </w:r>
      <w:r w:rsidR="00F95F9C" w:rsidRPr="00BE10AE">
        <w:rPr>
          <w:rFonts w:ascii="Garamond" w:hAnsi="Garamond"/>
          <w:i/>
          <w:iCs/>
          <w:sz w:val="26"/>
          <w:szCs w:val="26"/>
        </w:rPr>
        <w:t>Id</w:t>
      </w:r>
      <w:r w:rsidR="00F95F9C" w:rsidRPr="00BE10AE">
        <w:rPr>
          <w:rFonts w:ascii="Garamond" w:hAnsi="Garamond"/>
          <w:sz w:val="26"/>
          <w:szCs w:val="26"/>
        </w:rPr>
        <w:t xml:space="preserve">. at p. 120.) </w:t>
      </w:r>
      <w:r w:rsidR="00354834" w:rsidRPr="00BE10AE">
        <w:rPr>
          <w:rFonts w:ascii="Garamond" w:hAnsi="Garamond"/>
          <w:sz w:val="26"/>
          <w:szCs w:val="26"/>
        </w:rPr>
        <w:t>Over the course of the recess, one of the co-defendant</w:t>
      </w:r>
      <w:r w:rsidR="00345E47" w:rsidRPr="00BE10AE">
        <w:rPr>
          <w:rFonts w:ascii="Garamond" w:hAnsi="Garamond"/>
          <w:sz w:val="26"/>
          <w:szCs w:val="26"/>
        </w:rPr>
        <w:t>’</w:t>
      </w:r>
      <w:r w:rsidR="00354834" w:rsidRPr="00BE10AE">
        <w:rPr>
          <w:rFonts w:ascii="Garamond" w:hAnsi="Garamond"/>
          <w:sz w:val="26"/>
          <w:szCs w:val="26"/>
        </w:rPr>
        <w:t xml:space="preserve">s physically threatened Sandoval (though this fact did not come to light until afterwards). </w:t>
      </w:r>
      <w:r w:rsidR="00215C29" w:rsidRPr="00BE10AE">
        <w:rPr>
          <w:rFonts w:ascii="Garamond" w:hAnsi="Garamond"/>
          <w:sz w:val="26"/>
          <w:szCs w:val="26"/>
        </w:rPr>
        <w:t>(</w:t>
      </w:r>
      <w:r w:rsidR="00215C29" w:rsidRPr="00BE10AE">
        <w:rPr>
          <w:rFonts w:ascii="Garamond" w:hAnsi="Garamond"/>
          <w:i/>
          <w:iCs/>
          <w:sz w:val="26"/>
          <w:szCs w:val="26"/>
        </w:rPr>
        <w:t>Id</w:t>
      </w:r>
      <w:r w:rsidR="00215C29" w:rsidRPr="00BE10AE">
        <w:rPr>
          <w:rFonts w:ascii="Garamond" w:hAnsi="Garamond"/>
          <w:sz w:val="26"/>
          <w:szCs w:val="26"/>
        </w:rPr>
        <w:t xml:space="preserve">. at p. 121.) </w:t>
      </w:r>
      <w:r w:rsidR="000C07EE" w:rsidRPr="00BE10AE">
        <w:rPr>
          <w:rFonts w:ascii="Garamond" w:hAnsi="Garamond"/>
          <w:sz w:val="26"/>
          <w:szCs w:val="26"/>
        </w:rPr>
        <w:t>U</w:t>
      </w:r>
      <w:r w:rsidR="00084859" w:rsidRPr="00BE10AE">
        <w:rPr>
          <w:rFonts w:ascii="Garamond" w:hAnsi="Garamond"/>
          <w:sz w:val="26"/>
          <w:szCs w:val="26"/>
        </w:rPr>
        <w:t xml:space="preserve">nsurprisingly, </w:t>
      </w:r>
      <w:r w:rsidR="00B052DD" w:rsidRPr="00BE10AE">
        <w:rPr>
          <w:rFonts w:ascii="Garamond" w:hAnsi="Garamond"/>
          <w:sz w:val="26"/>
          <w:szCs w:val="26"/>
        </w:rPr>
        <w:t xml:space="preserve">after the recess, Sandoval </w:t>
      </w:r>
      <w:r w:rsidR="007E1562" w:rsidRPr="00BE10AE">
        <w:rPr>
          <w:rFonts w:ascii="Garamond" w:hAnsi="Garamond"/>
          <w:sz w:val="26"/>
          <w:szCs w:val="26"/>
        </w:rPr>
        <w:t>accepted</w:t>
      </w:r>
      <w:r w:rsidR="00D20F1A" w:rsidRPr="00BE10AE">
        <w:rPr>
          <w:rFonts w:ascii="Garamond" w:hAnsi="Garamond"/>
          <w:sz w:val="26"/>
          <w:szCs w:val="26"/>
        </w:rPr>
        <w:t xml:space="preserve"> the </w:t>
      </w:r>
      <w:r w:rsidR="009D6A64" w:rsidRPr="00BE10AE">
        <w:rPr>
          <w:rFonts w:ascii="Garamond" w:hAnsi="Garamond"/>
          <w:sz w:val="26"/>
          <w:szCs w:val="26"/>
        </w:rPr>
        <w:t>deal</w:t>
      </w:r>
      <w:r w:rsidR="00B052DD" w:rsidRPr="00BE10AE">
        <w:rPr>
          <w:rFonts w:ascii="Garamond" w:hAnsi="Garamond"/>
          <w:sz w:val="26"/>
          <w:szCs w:val="26"/>
        </w:rPr>
        <w:t xml:space="preserve">. </w:t>
      </w:r>
      <w:r w:rsidR="00914E84" w:rsidRPr="00BE10AE">
        <w:rPr>
          <w:rFonts w:ascii="Garamond" w:hAnsi="Garamond"/>
          <w:sz w:val="26"/>
          <w:szCs w:val="26"/>
        </w:rPr>
        <w:t>(</w:t>
      </w:r>
      <w:r w:rsidR="00914E84" w:rsidRPr="00BE10AE">
        <w:rPr>
          <w:rFonts w:ascii="Garamond" w:hAnsi="Garamond"/>
          <w:i/>
          <w:iCs/>
          <w:sz w:val="26"/>
          <w:szCs w:val="26"/>
        </w:rPr>
        <w:t>Id</w:t>
      </w:r>
      <w:r w:rsidR="00914E84" w:rsidRPr="00BE10AE">
        <w:rPr>
          <w:rFonts w:ascii="Garamond" w:hAnsi="Garamond"/>
          <w:sz w:val="26"/>
          <w:szCs w:val="26"/>
        </w:rPr>
        <w:t>. at p. 120.)</w:t>
      </w:r>
    </w:p>
    <w:p w14:paraId="3EFFB9B5" w14:textId="77777777" w:rsidR="00163F4A" w:rsidRPr="00BE10AE" w:rsidRDefault="00163F4A" w:rsidP="00163F4A">
      <w:pPr>
        <w:spacing w:line="360" w:lineRule="auto"/>
        <w:ind w:firstLine="360"/>
        <w:contextualSpacing/>
        <w:rPr>
          <w:rFonts w:ascii="Garamond" w:hAnsi="Garamond"/>
          <w:sz w:val="26"/>
          <w:szCs w:val="26"/>
        </w:rPr>
      </w:pPr>
      <w:r w:rsidRPr="00BE10AE">
        <w:rPr>
          <w:rFonts w:ascii="Garamond" w:hAnsi="Garamond"/>
          <w:sz w:val="26"/>
          <w:szCs w:val="26"/>
        </w:rPr>
        <w:t xml:space="preserve">Was this coercive? </w:t>
      </w:r>
    </w:p>
    <w:p w14:paraId="42D341F4" w14:textId="1EB44BEC" w:rsidR="00163F4A" w:rsidRPr="00BE10AE" w:rsidRDefault="00163F4A" w:rsidP="00163F4A">
      <w:pPr>
        <w:spacing w:line="360" w:lineRule="auto"/>
        <w:ind w:firstLine="360"/>
        <w:contextualSpacing/>
        <w:rPr>
          <w:rFonts w:ascii="Garamond" w:hAnsi="Garamond"/>
          <w:sz w:val="26"/>
          <w:szCs w:val="26"/>
        </w:rPr>
      </w:pPr>
      <w:r w:rsidRPr="00BE10AE">
        <w:rPr>
          <w:rFonts w:ascii="Garamond" w:hAnsi="Garamond"/>
          <w:sz w:val="26"/>
          <w:szCs w:val="26"/>
        </w:rPr>
        <w:t xml:space="preserve">Big time. </w:t>
      </w:r>
      <w:r w:rsidR="0043199E" w:rsidRPr="00BE10AE">
        <w:rPr>
          <w:rFonts w:ascii="Garamond" w:hAnsi="Garamond"/>
          <w:sz w:val="26"/>
          <w:szCs w:val="26"/>
        </w:rPr>
        <w:t>Physical threats are obviously</w:t>
      </w:r>
      <w:r w:rsidR="003E2D6E" w:rsidRPr="00BE10AE">
        <w:rPr>
          <w:rFonts w:ascii="Garamond" w:hAnsi="Garamond"/>
          <w:sz w:val="26"/>
          <w:szCs w:val="26"/>
        </w:rPr>
        <w:t xml:space="preserve"> </w:t>
      </w:r>
      <w:r w:rsidR="00215C29" w:rsidRPr="00BE10AE">
        <w:rPr>
          <w:rFonts w:ascii="Garamond" w:hAnsi="Garamond"/>
          <w:sz w:val="26"/>
          <w:szCs w:val="26"/>
        </w:rPr>
        <w:t>a problem</w:t>
      </w:r>
      <w:r w:rsidR="002B2929" w:rsidRPr="00BE10AE">
        <w:rPr>
          <w:rFonts w:ascii="Garamond" w:hAnsi="Garamond"/>
          <w:sz w:val="26"/>
          <w:szCs w:val="26"/>
        </w:rPr>
        <w:t>, but the judge</w:t>
      </w:r>
      <w:r w:rsidR="00345E47" w:rsidRPr="00BE10AE">
        <w:rPr>
          <w:rFonts w:ascii="Garamond" w:hAnsi="Garamond"/>
          <w:sz w:val="26"/>
          <w:szCs w:val="26"/>
        </w:rPr>
        <w:t>’</w:t>
      </w:r>
      <w:r w:rsidR="002B2929" w:rsidRPr="00BE10AE">
        <w:rPr>
          <w:rFonts w:ascii="Garamond" w:hAnsi="Garamond"/>
          <w:sz w:val="26"/>
          <w:szCs w:val="26"/>
        </w:rPr>
        <w:t xml:space="preserve">s comments </w:t>
      </w:r>
      <w:r w:rsidR="00C95BCA" w:rsidRPr="00BE10AE">
        <w:rPr>
          <w:rFonts w:ascii="Garamond" w:hAnsi="Garamond"/>
          <w:sz w:val="26"/>
          <w:szCs w:val="26"/>
        </w:rPr>
        <w:t xml:space="preserve">also </w:t>
      </w:r>
      <w:r w:rsidR="00215C29" w:rsidRPr="00BE10AE">
        <w:rPr>
          <w:rFonts w:ascii="Garamond" w:hAnsi="Garamond"/>
          <w:sz w:val="26"/>
          <w:szCs w:val="26"/>
        </w:rPr>
        <w:t>coerced</w:t>
      </w:r>
      <w:r w:rsidR="002B2929" w:rsidRPr="00BE10AE">
        <w:rPr>
          <w:rFonts w:ascii="Garamond" w:hAnsi="Garamond"/>
          <w:sz w:val="26"/>
          <w:szCs w:val="26"/>
        </w:rPr>
        <w:t xml:space="preserve"> </w:t>
      </w:r>
      <w:r w:rsidR="00C95BCA" w:rsidRPr="00BE10AE">
        <w:rPr>
          <w:rFonts w:ascii="Garamond" w:hAnsi="Garamond"/>
          <w:sz w:val="26"/>
          <w:szCs w:val="26"/>
        </w:rPr>
        <w:t>Sandoval</w:t>
      </w:r>
      <w:r w:rsidR="002B2929" w:rsidRPr="00BE10AE">
        <w:rPr>
          <w:rFonts w:ascii="Garamond" w:hAnsi="Garamond"/>
          <w:sz w:val="26"/>
          <w:szCs w:val="26"/>
        </w:rPr>
        <w:t xml:space="preserve"> </w:t>
      </w:r>
      <w:r w:rsidR="00215C29" w:rsidRPr="00BE10AE">
        <w:rPr>
          <w:rFonts w:ascii="Garamond" w:hAnsi="Garamond"/>
          <w:sz w:val="26"/>
          <w:szCs w:val="26"/>
        </w:rPr>
        <w:t>into</w:t>
      </w:r>
      <w:r w:rsidR="008F507F" w:rsidRPr="00BE10AE">
        <w:rPr>
          <w:rFonts w:ascii="Garamond" w:hAnsi="Garamond"/>
          <w:sz w:val="26"/>
          <w:szCs w:val="26"/>
        </w:rPr>
        <w:t xml:space="preserve"> plead</w:t>
      </w:r>
      <w:r w:rsidR="00215C29" w:rsidRPr="00BE10AE">
        <w:rPr>
          <w:rFonts w:ascii="Garamond" w:hAnsi="Garamond"/>
          <w:sz w:val="26"/>
          <w:szCs w:val="26"/>
        </w:rPr>
        <w:t>ing</w:t>
      </w:r>
      <w:r w:rsidR="002B2929" w:rsidRPr="00BE10AE">
        <w:rPr>
          <w:rFonts w:ascii="Garamond" w:hAnsi="Garamond"/>
          <w:sz w:val="26"/>
          <w:szCs w:val="26"/>
        </w:rPr>
        <w:t xml:space="preserve">. </w:t>
      </w:r>
      <w:r w:rsidR="002C42FF" w:rsidRPr="00BE10AE">
        <w:rPr>
          <w:rFonts w:ascii="Garamond" w:hAnsi="Garamond"/>
          <w:sz w:val="26"/>
          <w:szCs w:val="26"/>
        </w:rPr>
        <w:t xml:space="preserve">The </w:t>
      </w:r>
      <w:r w:rsidR="008F507F" w:rsidRPr="00BE10AE">
        <w:rPr>
          <w:rFonts w:ascii="Garamond" w:hAnsi="Garamond"/>
          <w:i/>
          <w:iCs/>
          <w:sz w:val="26"/>
          <w:szCs w:val="26"/>
        </w:rPr>
        <w:t>Sandoval</w:t>
      </w:r>
      <w:r w:rsidR="008F507F" w:rsidRPr="00BE10AE">
        <w:rPr>
          <w:rFonts w:ascii="Garamond" w:hAnsi="Garamond"/>
          <w:sz w:val="26"/>
          <w:szCs w:val="26"/>
        </w:rPr>
        <w:t xml:space="preserve"> </w:t>
      </w:r>
      <w:r w:rsidR="002C42FF" w:rsidRPr="00BE10AE">
        <w:rPr>
          <w:rFonts w:ascii="Garamond" w:hAnsi="Garamond"/>
          <w:sz w:val="26"/>
          <w:szCs w:val="26"/>
        </w:rPr>
        <w:t>court noted</w:t>
      </w:r>
      <w:r w:rsidR="00C95BCA" w:rsidRPr="00BE10AE">
        <w:rPr>
          <w:rFonts w:ascii="Garamond" w:hAnsi="Garamond"/>
          <w:sz w:val="26"/>
          <w:szCs w:val="26"/>
        </w:rPr>
        <w:t xml:space="preserve">, </w:t>
      </w:r>
      <w:r w:rsidR="00345E47" w:rsidRPr="00BE10AE">
        <w:rPr>
          <w:rFonts w:ascii="Garamond" w:hAnsi="Garamond"/>
          <w:sz w:val="26"/>
          <w:szCs w:val="26"/>
        </w:rPr>
        <w:t>“</w:t>
      </w:r>
      <w:r w:rsidR="00AF7D63">
        <w:rPr>
          <w:rFonts w:ascii="Garamond" w:hAnsi="Garamond"/>
          <w:sz w:val="26"/>
          <w:szCs w:val="26"/>
        </w:rPr>
        <w:t>s</w:t>
      </w:r>
      <w:r w:rsidR="002C42FF" w:rsidRPr="00BE10AE">
        <w:rPr>
          <w:rFonts w:ascii="Garamond" w:hAnsi="Garamond"/>
          <w:sz w:val="26"/>
          <w:szCs w:val="26"/>
        </w:rPr>
        <w:t>pecial problems are presented when the judge participates in plea negotiations. Experience suggests that such judicial activity risks more, in terms of unintentional coercion of defendants, than it gains in promoting understanding and voluntary pleas, and thus most authorities recommend that it be kept to a minimum [citations].</w:t>
      </w:r>
      <w:r w:rsidR="00345E47" w:rsidRPr="00BE10AE">
        <w:rPr>
          <w:rFonts w:ascii="Garamond" w:hAnsi="Garamond"/>
          <w:sz w:val="26"/>
          <w:szCs w:val="26"/>
        </w:rPr>
        <w:t>”</w:t>
      </w:r>
      <w:r w:rsidR="004743B0" w:rsidRPr="00BE10AE">
        <w:rPr>
          <w:rFonts w:ascii="Garamond" w:hAnsi="Garamond"/>
          <w:sz w:val="26"/>
          <w:szCs w:val="26"/>
        </w:rPr>
        <w:t xml:space="preserve"> </w:t>
      </w:r>
      <w:r w:rsidR="00215C29" w:rsidRPr="00BE10AE">
        <w:rPr>
          <w:rFonts w:ascii="Garamond" w:hAnsi="Garamond"/>
          <w:sz w:val="26"/>
          <w:szCs w:val="26"/>
        </w:rPr>
        <w:t>(</w:t>
      </w:r>
      <w:r w:rsidR="00215C29" w:rsidRPr="00BE10AE">
        <w:rPr>
          <w:rFonts w:ascii="Garamond" w:hAnsi="Garamond"/>
          <w:i/>
          <w:iCs/>
          <w:sz w:val="26"/>
          <w:szCs w:val="26"/>
        </w:rPr>
        <w:t>Sandoval</w:t>
      </w:r>
      <w:r w:rsidR="00215C29" w:rsidRPr="00BE10AE">
        <w:rPr>
          <w:rFonts w:ascii="Garamond" w:hAnsi="Garamond"/>
          <w:sz w:val="26"/>
          <w:szCs w:val="26"/>
        </w:rPr>
        <w:t xml:space="preserve">, </w:t>
      </w:r>
      <w:r w:rsidR="00215C29" w:rsidRPr="00BE10AE">
        <w:rPr>
          <w:rFonts w:ascii="Garamond" w:hAnsi="Garamond"/>
          <w:i/>
          <w:iCs/>
          <w:sz w:val="26"/>
          <w:szCs w:val="26"/>
        </w:rPr>
        <w:t>supra</w:t>
      </w:r>
      <w:r w:rsidR="00215C29" w:rsidRPr="00BE10AE">
        <w:rPr>
          <w:rFonts w:ascii="Garamond" w:hAnsi="Garamond"/>
          <w:sz w:val="26"/>
          <w:szCs w:val="26"/>
        </w:rPr>
        <w:t xml:space="preserve">, 140 Cal.App.4th at p. </w:t>
      </w:r>
      <w:r w:rsidR="008A5B2F" w:rsidRPr="00BE10AE">
        <w:rPr>
          <w:rFonts w:ascii="Garamond" w:hAnsi="Garamond"/>
          <w:sz w:val="26"/>
          <w:szCs w:val="26"/>
        </w:rPr>
        <w:t xml:space="preserve">124, citing </w:t>
      </w:r>
      <w:r w:rsidR="008A5B2F" w:rsidRPr="00BE10AE">
        <w:rPr>
          <w:rFonts w:ascii="Garamond" w:hAnsi="Garamond"/>
          <w:i/>
          <w:iCs/>
          <w:sz w:val="26"/>
          <w:szCs w:val="26"/>
        </w:rPr>
        <w:t>Weaver</w:t>
      </w:r>
      <w:r w:rsidR="008A5B2F" w:rsidRPr="00BE10AE">
        <w:rPr>
          <w:rFonts w:ascii="Garamond" w:hAnsi="Garamond"/>
          <w:sz w:val="26"/>
          <w:szCs w:val="26"/>
        </w:rPr>
        <w:t xml:space="preserve">, </w:t>
      </w:r>
      <w:r w:rsidR="008A5B2F" w:rsidRPr="00BE10AE">
        <w:rPr>
          <w:rFonts w:ascii="Garamond" w:hAnsi="Garamond"/>
          <w:i/>
          <w:iCs/>
          <w:sz w:val="26"/>
          <w:szCs w:val="26"/>
        </w:rPr>
        <w:t>supra</w:t>
      </w:r>
      <w:r w:rsidR="008A5B2F" w:rsidRPr="00BE10AE">
        <w:rPr>
          <w:rFonts w:ascii="Garamond" w:hAnsi="Garamond"/>
          <w:sz w:val="26"/>
          <w:szCs w:val="26"/>
        </w:rPr>
        <w:t xml:space="preserve">, </w:t>
      </w:r>
      <w:r w:rsidR="007010F5" w:rsidRPr="00BE10AE">
        <w:rPr>
          <w:rFonts w:ascii="Garamond" w:hAnsi="Garamond"/>
          <w:sz w:val="26"/>
          <w:szCs w:val="26"/>
        </w:rPr>
        <w:t xml:space="preserve">118 Cal.App.4th at p. </w:t>
      </w:r>
      <w:r w:rsidR="007822A5" w:rsidRPr="00BE10AE">
        <w:rPr>
          <w:rFonts w:ascii="Garamond" w:hAnsi="Garamond"/>
          <w:sz w:val="26"/>
          <w:szCs w:val="26"/>
        </w:rPr>
        <w:t>148</w:t>
      </w:r>
      <w:r w:rsidR="00215C29" w:rsidRPr="00BE10AE">
        <w:rPr>
          <w:rFonts w:ascii="Garamond" w:hAnsi="Garamond"/>
          <w:sz w:val="26"/>
          <w:szCs w:val="26"/>
        </w:rPr>
        <w:t xml:space="preserve">.) </w:t>
      </w:r>
      <w:r w:rsidR="000B28F5" w:rsidRPr="00BE10AE">
        <w:rPr>
          <w:rFonts w:ascii="Garamond" w:hAnsi="Garamond"/>
          <w:sz w:val="26"/>
          <w:szCs w:val="26"/>
        </w:rPr>
        <w:t xml:space="preserve">Indeed, the California </w:t>
      </w:r>
      <w:r w:rsidR="007822A5" w:rsidRPr="00BE10AE">
        <w:rPr>
          <w:rFonts w:ascii="Garamond" w:hAnsi="Garamond"/>
          <w:sz w:val="26"/>
          <w:szCs w:val="26"/>
        </w:rPr>
        <w:t>Judges</w:t>
      </w:r>
      <w:r w:rsidR="000B28F5" w:rsidRPr="00BE10AE">
        <w:rPr>
          <w:rFonts w:ascii="Garamond" w:hAnsi="Garamond"/>
          <w:sz w:val="26"/>
          <w:szCs w:val="26"/>
        </w:rPr>
        <w:t xml:space="preserve"> Benchbook</w:t>
      </w:r>
      <w:r w:rsidR="005F693E" w:rsidRPr="00BE10AE">
        <w:rPr>
          <w:rFonts w:ascii="Garamond" w:hAnsi="Garamond"/>
          <w:sz w:val="26"/>
          <w:szCs w:val="26"/>
        </w:rPr>
        <w:t xml:space="preserve"> says that, </w:t>
      </w:r>
      <w:r w:rsidR="00804172" w:rsidRPr="00BE10AE">
        <w:rPr>
          <w:rFonts w:ascii="Garamond" w:hAnsi="Garamond"/>
          <w:sz w:val="26"/>
          <w:szCs w:val="26"/>
        </w:rPr>
        <w:t>if</w:t>
      </w:r>
      <w:r w:rsidR="005F693E" w:rsidRPr="00BE10AE">
        <w:rPr>
          <w:rFonts w:ascii="Garamond" w:hAnsi="Garamond"/>
          <w:sz w:val="26"/>
          <w:szCs w:val="26"/>
        </w:rPr>
        <w:t xml:space="preserve"> a judge decides to become involved in plea negotiations, </w:t>
      </w:r>
      <w:r w:rsidR="00345E47" w:rsidRPr="00BE10AE">
        <w:rPr>
          <w:rFonts w:ascii="Garamond" w:hAnsi="Garamond"/>
          <w:sz w:val="26"/>
          <w:szCs w:val="26"/>
        </w:rPr>
        <w:t>“</w:t>
      </w:r>
      <w:r w:rsidR="005F693E" w:rsidRPr="00BE10AE">
        <w:rPr>
          <w:rFonts w:ascii="Garamond" w:hAnsi="Garamond"/>
          <w:sz w:val="26"/>
          <w:szCs w:val="26"/>
        </w:rPr>
        <w:t>[t]he judge should maintain total neutrality and at the same time probe continually for a common meeting ground.</w:t>
      </w:r>
      <w:r w:rsidR="00345E47" w:rsidRPr="00BE10AE">
        <w:rPr>
          <w:rFonts w:ascii="Garamond" w:hAnsi="Garamond"/>
          <w:sz w:val="26"/>
          <w:szCs w:val="26"/>
        </w:rPr>
        <w:t>”</w:t>
      </w:r>
      <w:r w:rsidR="007822A5" w:rsidRPr="00BE10AE">
        <w:rPr>
          <w:rFonts w:ascii="Garamond" w:hAnsi="Garamond"/>
          <w:sz w:val="26"/>
          <w:szCs w:val="26"/>
        </w:rPr>
        <w:t xml:space="preserve"> (</w:t>
      </w:r>
      <w:r w:rsidR="0058048B" w:rsidRPr="00BE10AE">
        <w:rPr>
          <w:rFonts w:ascii="Garamond" w:hAnsi="Garamond"/>
          <w:i/>
          <w:iCs/>
          <w:sz w:val="26"/>
          <w:szCs w:val="26"/>
        </w:rPr>
        <w:t>Ibid</w:t>
      </w:r>
      <w:r w:rsidR="0058048B" w:rsidRPr="00BE10AE">
        <w:rPr>
          <w:rFonts w:ascii="Garamond" w:hAnsi="Garamond"/>
          <w:sz w:val="26"/>
          <w:szCs w:val="26"/>
        </w:rPr>
        <w:t>.)</w:t>
      </w:r>
      <w:r w:rsidR="007822A5" w:rsidRPr="00BE10AE">
        <w:rPr>
          <w:rFonts w:ascii="Garamond" w:hAnsi="Garamond"/>
          <w:sz w:val="26"/>
          <w:szCs w:val="26"/>
        </w:rPr>
        <w:t xml:space="preserve"> </w:t>
      </w:r>
    </w:p>
    <w:p w14:paraId="4EB29A8B" w14:textId="01538A8E" w:rsidR="005F693E" w:rsidRPr="00BE10AE" w:rsidRDefault="0037519D" w:rsidP="00163F4A">
      <w:pPr>
        <w:spacing w:line="360" w:lineRule="auto"/>
        <w:ind w:firstLine="360"/>
        <w:contextualSpacing/>
        <w:rPr>
          <w:rFonts w:ascii="Garamond" w:hAnsi="Garamond"/>
          <w:sz w:val="26"/>
          <w:szCs w:val="26"/>
        </w:rPr>
      </w:pPr>
      <w:r w:rsidRPr="00BE10AE">
        <w:rPr>
          <w:rFonts w:ascii="Garamond" w:hAnsi="Garamond"/>
          <w:sz w:val="26"/>
          <w:szCs w:val="26"/>
        </w:rPr>
        <w:t xml:space="preserve">In </w:t>
      </w:r>
      <w:r w:rsidRPr="00BE10AE">
        <w:rPr>
          <w:rFonts w:ascii="Garamond" w:hAnsi="Garamond"/>
          <w:i/>
          <w:iCs/>
          <w:sz w:val="26"/>
          <w:szCs w:val="26"/>
        </w:rPr>
        <w:t>Sandoval</w:t>
      </w:r>
      <w:r w:rsidR="005F693E" w:rsidRPr="00BE10AE">
        <w:rPr>
          <w:rFonts w:ascii="Garamond" w:hAnsi="Garamond"/>
          <w:sz w:val="26"/>
          <w:szCs w:val="26"/>
        </w:rPr>
        <w:t xml:space="preserve">, the judge </w:t>
      </w:r>
      <w:r w:rsidRPr="00BE10AE">
        <w:rPr>
          <w:rFonts w:ascii="Garamond" w:hAnsi="Garamond"/>
          <w:sz w:val="26"/>
          <w:szCs w:val="26"/>
        </w:rPr>
        <w:t xml:space="preserve">did not </w:t>
      </w:r>
      <w:r w:rsidR="00345E47" w:rsidRPr="00BE10AE">
        <w:rPr>
          <w:rFonts w:ascii="Garamond" w:hAnsi="Garamond"/>
          <w:sz w:val="26"/>
          <w:szCs w:val="26"/>
        </w:rPr>
        <w:t>“</w:t>
      </w:r>
      <w:r w:rsidRPr="00BE10AE">
        <w:rPr>
          <w:rFonts w:ascii="Garamond" w:hAnsi="Garamond"/>
          <w:sz w:val="26"/>
          <w:szCs w:val="26"/>
        </w:rPr>
        <w:t>maintain total</w:t>
      </w:r>
      <w:r w:rsidR="005F693E" w:rsidRPr="00BE10AE">
        <w:rPr>
          <w:rFonts w:ascii="Garamond" w:hAnsi="Garamond"/>
          <w:sz w:val="26"/>
          <w:szCs w:val="26"/>
        </w:rPr>
        <w:t xml:space="preserve"> neutrality.</w:t>
      </w:r>
      <w:r w:rsidR="00345E47" w:rsidRPr="00BE10AE">
        <w:rPr>
          <w:rFonts w:ascii="Garamond" w:hAnsi="Garamond"/>
          <w:sz w:val="26"/>
          <w:szCs w:val="26"/>
        </w:rPr>
        <w:t>”</w:t>
      </w:r>
      <w:r w:rsidRPr="00BE10AE">
        <w:rPr>
          <w:rFonts w:ascii="Garamond" w:hAnsi="Garamond"/>
          <w:sz w:val="26"/>
          <w:szCs w:val="26"/>
        </w:rPr>
        <w:t xml:space="preserve"> </w:t>
      </w:r>
      <w:r w:rsidR="00977D40" w:rsidRPr="00BE10AE">
        <w:rPr>
          <w:rFonts w:ascii="Garamond" w:hAnsi="Garamond"/>
          <w:sz w:val="26"/>
          <w:szCs w:val="26"/>
        </w:rPr>
        <w:t>(</w:t>
      </w:r>
      <w:r w:rsidR="00977D40" w:rsidRPr="00BE10AE">
        <w:rPr>
          <w:rFonts w:ascii="Garamond" w:hAnsi="Garamond"/>
          <w:i/>
          <w:iCs/>
          <w:sz w:val="26"/>
          <w:szCs w:val="26"/>
        </w:rPr>
        <w:t>Sandoval</w:t>
      </w:r>
      <w:r w:rsidR="00977D40" w:rsidRPr="00BE10AE">
        <w:rPr>
          <w:rFonts w:ascii="Garamond" w:hAnsi="Garamond"/>
          <w:sz w:val="26"/>
          <w:szCs w:val="26"/>
        </w:rPr>
        <w:t xml:space="preserve">, </w:t>
      </w:r>
      <w:r w:rsidR="00977D40" w:rsidRPr="00BE10AE">
        <w:rPr>
          <w:rFonts w:ascii="Garamond" w:hAnsi="Garamond"/>
          <w:i/>
          <w:iCs/>
          <w:sz w:val="26"/>
          <w:szCs w:val="26"/>
        </w:rPr>
        <w:t>supra</w:t>
      </w:r>
      <w:r w:rsidR="00977D40" w:rsidRPr="00BE10AE">
        <w:rPr>
          <w:rFonts w:ascii="Garamond" w:hAnsi="Garamond"/>
          <w:sz w:val="26"/>
          <w:szCs w:val="26"/>
        </w:rPr>
        <w:t xml:space="preserve">, 140 Cal.App.4th at p. 127.) </w:t>
      </w:r>
      <w:r w:rsidR="00122B4C" w:rsidRPr="00BE10AE">
        <w:rPr>
          <w:rFonts w:ascii="Garamond" w:hAnsi="Garamond"/>
          <w:sz w:val="26"/>
          <w:szCs w:val="26"/>
        </w:rPr>
        <w:t xml:space="preserve">Rather, she repeated over and again that the deal being offered was </w:t>
      </w:r>
      <w:r w:rsidR="00345E47" w:rsidRPr="00BE10AE">
        <w:rPr>
          <w:rFonts w:ascii="Garamond" w:hAnsi="Garamond"/>
          <w:sz w:val="26"/>
          <w:szCs w:val="26"/>
        </w:rPr>
        <w:t>“</w:t>
      </w:r>
      <w:r w:rsidR="00122B4C" w:rsidRPr="00BE10AE">
        <w:rPr>
          <w:rFonts w:ascii="Garamond" w:hAnsi="Garamond"/>
          <w:sz w:val="26"/>
          <w:szCs w:val="26"/>
        </w:rPr>
        <w:t>amazing</w:t>
      </w:r>
      <w:r w:rsidR="00345E47" w:rsidRPr="00BE10AE">
        <w:rPr>
          <w:rFonts w:ascii="Garamond" w:hAnsi="Garamond"/>
          <w:sz w:val="26"/>
          <w:szCs w:val="26"/>
        </w:rPr>
        <w:t>”</w:t>
      </w:r>
      <w:r w:rsidR="00122B4C" w:rsidRPr="00BE10AE">
        <w:rPr>
          <w:rFonts w:ascii="Garamond" w:hAnsi="Garamond"/>
          <w:sz w:val="26"/>
          <w:szCs w:val="26"/>
        </w:rPr>
        <w:t xml:space="preserve"> </w:t>
      </w:r>
      <w:r w:rsidR="00E34766" w:rsidRPr="00BE10AE">
        <w:rPr>
          <w:rFonts w:ascii="Garamond" w:hAnsi="Garamond"/>
          <w:sz w:val="26"/>
          <w:szCs w:val="26"/>
        </w:rPr>
        <w:t xml:space="preserve">and </w:t>
      </w:r>
      <w:r w:rsidR="00345E47" w:rsidRPr="00BE10AE">
        <w:rPr>
          <w:rFonts w:ascii="Garamond" w:hAnsi="Garamond"/>
          <w:sz w:val="26"/>
          <w:szCs w:val="26"/>
        </w:rPr>
        <w:t>“</w:t>
      </w:r>
      <w:r w:rsidR="00E34766" w:rsidRPr="00BE10AE">
        <w:rPr>
          <w:rFonts w:ascii="Garamond" w:hAnsi="Garamond"/>
          <w:sz w:val="26"/>
          <w:szCs w:val="26"/>
        </w:rPr>
        <w:t>exceptionally good.</w:t>
      </w:r>
      <w:r w:rsidR="00345E47" w:rsidRPr="00BE10AE">
        <w:rPr>
          <w:rFonts w:ascii="Garamond" w:hAnsi="Garamond"/>
          <w:sz w:val="26"/>
          <w:szCs w:val="26"/>
        </w:rPr>
        <w:t>”</w:t>
      </w:r>
      <w:r w:rsidR="00B34421" w:rsidRPr="00BE10AE">
        <w:rPr>
          <w:rFonts w:ascii="Garamond" w:hAnsi="Garamond"/>
          <w:sz w:val="26"/>
          <w:szCs w:val="26"/>
        </w:rPr>
        <w:t xml:space="preserve"> (</w:t>
      </w:r>
      <w:r w:rsidR="00B34421" w:rsidRPr="00BE10AE">
        <w:rPr>
          <w:rFonts w:ascii="Garamond" w:hAnsi="Garamond"/>
          <w:i/>
          <w:iCs/>
          <w:sz w:val="26"/>
          <w:szCs w:val="26"/>
        </w:rPr>
        <w:t>Id</w:t>
      </w:r>
      <w:r w:rsidR="00B34421" w:rsidRPr="00BE10AE">
        <w:rPr>
          <w:rFonts w:ascii="Garamond" w:hAnsi="Garamond"/>
          <w:sz w:val="26"/>
          <w:szCs w:val="26"/>
        </w:rPr>
        <w:t>. at p. 119.)</w:t>
      </w:r>
      <w:r w:rsidR="00E34766" w:rsidRPr="00BE10AE">
        <w:rPr>
          <w:rFonts w:ascii="Garamond" w:hAnsi="Garamond"/>
          <w:sz w:val="26"/>
          <w:szCs w:val="26"/>
        </w:rPr>
        <w:t xml:space="preserve"> Moreover, p</w:t>
      </w:r>
      <w:r w:rsidR="005F693E" w:rsidRPr="00BE10AE">
        <w:rPr>
          <w:rFonts w:ascii="Garamond" w:hAnsi="Garamond"/>
          <w:sz w:val="26"/>
          <w:szCs w:val="26"/>
        </w:rPr>
        <w:t xml:space="preserve">ackage-deal pleas </w:t>
      </w:r>
      <w:r w:rsidR="00AF7D63">
        <w:rPr>
          <w:rFonts w:ascii="Garamond" w:hAnsi="Garamond"/>
          <w:sz w:val="26"/>
          <w:szCs w:val="26"/>
        </w:rPr>
        <w:t>can be</w:t>
      </w:r>
      <w:r w:rsidR="005F693E" w:rsidRPr="00BE10AE">
        <w:rPr>
          <w:rFonts w:ascii="Garamond" w:hAnsi="Garamond"/>
          <w:sz w:val="26"/>
          <w:szCs w:val="26"/>
        </w:rPr>
        <w:t xml:space="preserve"> </w:t>
      </w:r>
      <w:r w:rsidR="00E34766" w:rsidRPr="00BE10AE">
        <w:rPr>
          <w:rFonts w:ascii="Garamond" w:hAnsi="Garamond"/>
          <w:sz w:val="26"/>
          <w:szCs w:val="26"/>
        </w:rPr>
        <w:t>coercive by their very nature.</w:t>
      </w:r>
      <w:r w:rsidR="00A837E5" w:rsidRPr="00BE10AE">
        <w:rPr>
          <w:rFonts w:ascii="Garamond" w:hAnsi="Garamond"/>
          <w:sz w:val="26"/>
          <w:szCs w:val="26"/>
        </w:rPr>
        <w:t xml:space="preserve"> (</w:t>
      </w:r>
      <w:r w:rsidR="00A837E5" w:rsidRPr="00BE10AE">
        <w:rPr>
          <w:rFonts w:ascii="Garamond" w:hAnsi="Garamond"/>
          <w:i/>
          <w:iCs/>
          <w:sz w:val="26"/>
          <w:szCs w:val="26"/>
        </w:rPr>
        <w:t>Id</w:t>
      </w:r>
      <w:r w:rsidR="00A837E5" w:rsidRPr="00BE10AE">
        <w:rPr>
          <w:rFonts w:ascii="Garamond" w:hAnsi="Garamond"/>
          <w:sz w:val="26"/>
          <w:szCs w:val="26"/>
        </w:rPr>
        <w:t>. at p. 125.)</w:t>
      </w:r>
      <w:r w:rsidR="00E34766" w:rsidRPr="00BE10AE">
        <w:rPr>
          <w:rFonts w:ascii="Garamond" w:hAnsi="Garamond"/>
          <w:sz w:val="26"/>
          <w:szCs w:val="26"/>
        </w:rPr>
        <w:t xml:space="preserve"> </w:t>
      </w:r>
      <w:r w:rsidR="001429E3" w:rsidRPr="00BE10AE">
        <w:rPr>
          <w:rFonts w:ascii="Garamond" w:hAnsi="Garamond"/>
          <w:sz w:val="26"/>
          <w:szCs w:val="26"/>
        </w:rPr>
        <w:t xml:space="preserve">A package-deal plea forces the defendant to consider not just his own interests, but the interests of his co-defendants. </w:t>
      </w:r>
      <w:r w:rsidR="00F81000" w:rsidRPr="00BE10AE">
        <w:rPr>
          <w:rFonts w:ascii="Garamond" w:hAnsi="Garamond"/>
          <w:sz w:val="26"/>
          <w:szCs w:val="26"/>
        </w:rPr>
        <w:t>(</w:t>
      </w:r>
      <w:r w:rsidR="00F81000" w:rsidRPr="00BE10AE">
        <w:rPr>
          <w:rFonts w:ascii="Garamond" w:hAnsi="Garamond"/>
          <w:i/>
          <w:iCs/>
          <w:sz w:val="26"/>
          <w:szCs w:val="26"/>
        </w:rPr>
        <w:t>Ibid</w:t>
      </w:r>
      <w:r w:rsidR="00F81000" w:rsidRPr="00BE10AE">
        <w:rPr>
          <w:rFonts w:ascii="Garamond" w:hAnsi="Garamond"/>
          <w:sz w:val="26"/>
          <w:szCs w:val="26"/>
        </w:rPr>
        <w:t xml:space="preserve">.) </w:t>
      </w:r>
      <w:r w:rsidR="001429E3" w:rsidRPr="00BE10AE">
        <w:rPr>
          <w:rFonts w:ascii="Garamond" w:hAnsi="Garamond"/>
          <w:sz w:val="26"/>
          <w:szCs w:val="26"/>
        </w:rPr>
        <w:t>So</w:t>
      </w:r>
      <w:r w:rsidR="00674F19" w:rsidRPr="00BE10AE">
        <w:rPr>
          <w:rFonts w:ascii="Garamond" w:hAnsi="Garamond"/>
          <w:sz w:val="26"/>
          <w:szCs w:val="26"/>
        </w:rPr>
        <w:t xml:space="preserve"> </w:t>
      </w:r>
      <w:r w:rsidR="007749ED" w:rsidRPr="00BE10AE">
        <w:rPr>
          <w:rFonts w:ascii="Garamond" w:hAnsi="Garamond"/>
          <w:sz w:val="26"/>
          <w:szCs w:val="26"/>
        </w:rPr>
        <w:t>when confronted with a package-deal plea</w:t>
      </w:r>
      <w:r w:rsidR="00AE5A23" w:rsidRPr="00BE10AE">
        <w:rPr>
          <w:rFonts w:ascii="Garamond" w:hAnsi="Garamond"/>
          <w:sz w:val="26"/>
          <w:szCs w:val="26"/>
        </w:rPr>
        <w:t xml:space="preserve">, </w:t>
      </w:r>
      <w:r w:rsidR="00345E47" w:rsidRPr="00BE10AE">
        <w:rPr>
          <w:rFonts w:ascii="Garamond" w:hAnsi="Garamond"/>
          <w:sz w:val="26"/>
          <w:szCs w:val="26"/>
        </w:rPr>
        <w:t>“</w:t>
      </w:r>
      <w:r w:rsidR="00AE5A23" w:rsidRPr="00BE10AE">
        <w:rPr>
          <w:rFonts w:ascii="Garamond" w:hAnsi="Garamond"/>
          <w:sz w:val="26"/>
          <w:szCs w:val="26"/>
        </w:rPr>
        <w:t>the nature and degree of coerciveness should be carefully examined.</w:t>
      </w:r>
      <w:r w:rsidR="00345E47" w:rsidRPr="00BE10AE">
        <w:rPr>
          <w:rFonts w:ascii="Garamond" w:hAnsi="Garamond"/>
          <w:sz w:val="26"/>
          <w:szCs w:val="26"/>
        </w:rPr>
        <w:t>”</w:t>
      </w:r>
      <w:r w:rsidR="00D405F6" w:rsidRPr="00BE10AE">
        <w:rPr>
          <w:rFonts w:ascii="Garamond" w:hAnsi="Garamond"/>
          <w:sz w:val="26"/>
          <w:szCs w:val="26"/>
        </w:rPr>
        <w:t xml:space="preserve"> </w:t>
      </w:r>
      <w:r w:rsidR="00F81000" w:rsidRPr="00BE10AE">
        <w:rPr>
          <w:rFonts w:ascii="Garamond" w:hAnsi="Garamond"/>
          <w:sz w:val="26"/>
          <w:szCs w:val="26"/>
        </w:rPr>
        <w:t>(</w:t>
      </w:r>
      <w:r w:rsidR="00F81000" w:rsidRPr="00BE10AE">
        <w:rPr>
          <w:rFonts w:ascii="Garamond" w:hAnsi="Garamond"/>
          <w:i/>
          <w:iCs/>
          <w:sz w:val="26"/>
          <w:szCs w:val="26"/>
        </w:rPr>
        <w:t>Ibid</w:t>
      </w:r>
      <w:r w:rsidR="00F81000" w:rsidRPr="00BE10AE">
        <w:rPr>
          <w:rFonts w:ascii="Garamond" w:hAnsi="Garamond"/>
          <w:sz w:val="26"/>
          <w:szCs w:val="26"/>
        </w:rPr>
        <w:t xml:space="preserve">.) </w:t>
      </w:r>
      <w:r w:rsidR="00D405F6" w:rsidRPr="00BE10AE">
        <w:rPr>
          <w:rFonts w:ascii="Garamond" w:hAnsi="Garamond"/>
          <w:sz w:val="26"/>
          <w:szCs w:val="26"/>
        </w:rPr>
        <w:t xml:space="preserve">The </w:t>
      </w:r>
      <w:r w:rsidR="00154582" w:rsidRPr="00BE10AE">
        <w:rPr>
          <w:rFonts w:ascii="Garamond" w:hAnsi="Garamond"/>
          <w:sz w:val="26"/>
          <w:szCs w:val="26"/>
        </w:rPr>
        <w:t>judge</w:t>
      </w:r>
      <w:r w:rsidR="00D405F6" w:rsidRPr="00BE10AE">
        <w:rPr>
          <w:rFonts w:ascii="Garamond" w:hAnsi="Garamond"/>
          <w:sz w:val="26"/>
          <w:szCs w:val="26"/>
        </w:rPr>
        <w:t xml:space="preserve"> here didn</w:t>
      </w:r>
      <w:r w:rsidR="00345E47" w:rsidRPr="00BE10AE">
        <w:rPr>
          <w:rFonts w:ascii="Garamond" w:hAnsi="Garamond"/>
          <w:sz w:val="26"/>
          <w:szCs w:val="26"/>
        </w:rPr>
        <w:t>’</w:t>
      </w:r>
      <w:r w:rsidR="00D405F6" w:rsidRPr="00BE10AE">
        <w:rPr>
          <w:rFonts w:ascii="Garamond" w:hAnsi="Garamond"/>
          <w:sz w:val="26"/>
          <w:szCs w:val="26"/>
        </w:rPr>
        <w:t xml:space="preserve">t just fail to examine the coercive nature of the plea; she </w:t>
      </w:r>
      <w:r w:rsidR="00154582" w:rsidRPr="00BE10AE">
        <w:rPr>
          <w:rFonts w:ascii="Garamond" w:hAnsi="Garamond"/>
          <w:sz w:val="26"/>
          <w:szCs w:val="26"/>
        </w:rPr>
        <w:t>exploited it</w:t>
      </w:r>
      <w:r w:rsidR="00F81000" w:rsidRPr="00BE10AE">
        <w:rPr>
          <w:rFonts w:ascii="Garamond" w:hAnsi="Garamond"/>
          <w:sz w:val="26"/>
          <w:szCs w:val="26"/>
        </w:rPr>
        <w:t xml:space="preserve">: </w:t>
      </w:r>
      <w:r w:rsidR="00345E47" w:rsidRPr="00BE10AE">
        <w:rPr>
          <w:rFonts w:ascii="Garamond" w:hAnsi="Garamond"/>
          <w:sz w:val="26"/>
          <w:szCs w:val="26"/>
        </w:rPr>
        <w:t>“</w:t>
      </w:r>
      <w:r w:rsidR="00154582" w:rsidRPr="00BE10AE">
        <w:rPr>
          <w:rFonts w:ascii="Garamond" w:hAnsi="Garamond"/>
          <w:sz w:val="26"/>
          <w:szCs w:val="26"/>
        </w:rPr>
        <w:t xml:space="preserve">The </w:t>
      </w:r>
      <w:r w:rsidR="00795899" w:rsidRPr="00BE10AE">
        <w:rPr>
          <w:rFonts w:ascii="Garamond" w:hAnsi="Garamond"/>
          <w:sz w:val="26"/>
          <w:szCs w:val="26"/>
        </w:rPr>
        <w:t>trial judge</w:t>
      </w:r>
      <w:r w:rsidR="00345E47" w:rsidRPr="00BE10AE">
        <w:rPr>
          <w:rFonts w:ascii="Garamond" w:hAnsi="Garamond"/>
          <w:sz w:val="26"/>
          <w:szCs w:val="26"/>
        </w:rPr>
        <w:t>’</w:t>
      </w:r>
      <w:r w:rsidR="00795899" w:rsidRPr="00BE10AE">
        <w:rPr>
          <w:rFonts w:ascii="Garamond" w:hAnsi="Garamond"/>
          <w:sz w:val="26"/>
          <w:szCs w:val="26"/>
        </w:rPr>
        <w:t>s remarks served to increase the psychological pressure on Sandoval stemming from his relationship with the codefendants.</w:t>
      </w:r>
      <w:r w:rsidR="00345E47" w:rsidRPr="00BE10AE">
        <w:rPr>
          <w:rFonts w:ascii="Garamond" w:hAnsi="Garamond"/>
          <w:sz w:val="26"/>
          <w:szCs w:val="26"/>
        </w:rPr>
        <w:t>”</w:t>
      </w:r>
      <w:r w:rsidR="00795899" w:rsidRPr="00BE10AE">
        <w:rPr>
          <w:rFonts w:ascii="Garamond" w:hAnsi="Garamond"/>
          <w:sz w:val="26"/>
          <w:szCs w:val="26"/>
        </w:rPr>
        <w:t xml:space="preserve"> </w:t>
      </w:r>
      <w:r w:rsidR="005C3173" w:rsidRPr="00BE10AE">
        <w:rPr>
          <w:rFonts w:ascii="Garamond" w:hAnsi="Garamond"/>
          <w:sz w:val="26"/>
          <w:szCs w:val="26"/>
        </w:rPr>
        <w:t>(</w:t>
      </w:r>
      <w:r w:rsidR="005C3173" w:rsidRPr="00BE10AE">
        <w:rPr>
          <w:rFonts w:ascii="Garamond" w:hAnsi="Garamond"/>
          <w:i/>
          <w:iCs/>
          <w:sz w:val="26"/>
          <w:szCs w:val="26"/>
        </w:rPr>
        <w:t>Id</w:t>
      </w:r>
      <w:r w:rsidR="005C3173" w:rsidRPr="00BE10AE">
        <w:rPr>
          <w:rFonts w:ascii="Garamond" w:hAnsi="Garamond"/>
          <w:sz w:val="26"/>
          <w:szCs w:val="26"/>
        </w:rPr>
        <w:t xml:space="preserve">. at p. 126.) </w:t>
      </w:r>
      <w:r w:rsidR="00073F71" w:rsidRPr="00BE10AE">
        <w:rPr>
          <w:rFonts w:ascii="Garamond" w:hAnsi="Garamond"/>
          <w:sz w:val="26"/>
          <w:szCs w:val="26"/>
        </w:rPr>
        <w:t>Accordingly, t</w:t>
      </w:r>
      <w:r w:rsidR="00F24EF2" w:rsidRPr="00BE10AE">
        <w:rPr>
          <w:rFonts w:ascii="Garamond" w:hAnsi="Garamond"/>
          <w:sz w:val="26"/>
          <w:szCs w:val="26"/>
        </w:rPr>
        <w:t xml:space="preserve">he Court of Appeal found </w:t>
      </w:r>
      <w:r w:rsidR="00073F71" w:rsidRPr="00BE10AE">
        <w:rPr>
          <w:rFonts w:ascii="Garamond" w:hAnsi="Garamond"/>
          <w:sz w:val="26"/>
          <w:szCs w:val="26"/>
        </w:rPr>
        <w:t>that Sandoval</w:t>
      </w:r>
      <w:r w:rsidR="00345E47" w:rsidRPr="00BE10AE">
        <w:rPr>
          <w:rFonts w:ascii="Garamond" w:hAnsi="Garamond"/>
          <w:sz w:val="26"/>
          <w:szCs w:val="26"/>
        </w:rPr>
        <w:t>’</w:t>
      </w:r>
      <w:r w:rsidR="00073F71" w:rsidRPr="00BE10AE">
        <w:rPr>
          <w:rFonts w:ascii="Garamond" w:hAnsi="Garamond"/>
          <w:sz w:val="26"/>
          <w:szCs w:val="26"/>
        </w:rPr>
        <w:t>s</w:t>
      </w:r>
      <w:r w:rsidR="00AD4161" w:rsidRPr="00BE10AE">
        <w:rPr>
          <w:rFonts w:ascii="Garamond" w:hAnsi="Garamond"/>
          <w:sz w:val="26"/>
          <w:szCs w:val="26"/>
        </w:rPr>
        <w:t xml:space="preserve"> plea was </w:t>
      </w:r>
      <w:r w:rsidR="00073F71" w:rsidRPr="00BE10AE">
        <w:rPr>
          <w:rFonts w:ascii="Garamond" w:hAnsi="Garamond"/>
          <w:sz w:val="26"/>
          <w:szCs w:val="26"/>
        </w:rPr>
        <w:t>the</w:t>
      </w:r>
      <w:r w:rsidR="00AD4161" w:rsidRPr="00BE10AE">
        <w:rPr>
          <w:rFonts w:ascii="Garamond" w:hAnsi="Garamond"/>
          <w:sz w:val="26"/>
          <w:szCs w:val="26"/>
        </w:rPr>
        <w:t xml:space="preserve"> result of judicial coercion. </w:t>
      </w:r>
      <w:r w:rsidR="005C3173" w:rsidRPr="00BE10AE">
        <w:rPr>
          <w:rFonts w:ascii="Garamond" w:hAnsi="Garamond"/>
          <w:sz w:val="26"/>
          <w:szCs w:val="26"/>
        </w:rPr>
        <w:t>(</w:t>
      </w:r>
      <w:r w:rsidR="00333EFF" w:rsidRPr="00BE10AE">
        <w:rPr>
          <w:rFonts w:ascii="Garamond" w:hAnsi="Garamond"/>
          <w:i/>
          <w:iCs/>
          <w:sz w:val="26"/>
          <w:szCs w:val="26"/>
        </w:rPr>
        <w:t>Id</w:t>
      </w:r>
      <w:r w:rsidR="00333EFF" w:rsidRPr="00BE10AE">
        <w:rPr>
          <w:rFonts w:ascii="Garamond" w:hAnsi="Garamond"/>
          <w:sz w:val="26"/>
          <w:szCs w:val="26"/>
        </w:rPr>
        <w:t>. at p. 127.)</w:t>
      </w:r>
    </w:p>
    <w:p w14:paraId="17FE6B77" w14:textId="692FC51E" w:rsidR="00D26F54" w:rsidRPr="00BE10AE" w:rsidRDefault="009D4EE9" w:rsidP="00310FA2">
      <w:pPr>
        <w:pStyle w:val="ListParagraph"/>
        <w:numPr>
          <w:ilvl w:val="1"/>
          <w:numId w:val="2"/>
        </w:numPr>
        <w:spacing w:line="360" w:lineRule="auto"/>
        <w:rPr>
          <w:rFonts w:ascii="Garamond" w:hAnsi="Garamond"/>
          <w:b/>
          <w:bCs/>
          <w:sz w:val="26"/>
          <w:szCs w:val="26"/>
        </w:rPr>
      </w:pPr>
      <w:r w:rsidRPr="00BE10AE">
        <w:rPr>
          <w:rFonts w:ascii="Garamond" w:hAnsi="Garamond"/>
          <w:b/>
          <w:bCs/>
          <w:sz w:val="26"/>
          <w:szCs w:val="26"/>
        </w:rPr>
        <w:t>H</w:t>
      </w:r>
      <w:r w:rsidR="00D26F54" w:rsidRPr="00BE10AE">
        <w:rPr>
          <w:rFonts w:ascii="Garamond" w:hAnsi="Garamond"/>
          <w:b/>
          <w:bCs/>
          <w:sz w:val="26"/>
          <w:szCs w:val="26"/>
        </w:rPr>
        <w:t xml:space="preserve">ow </w:t>
      </w:r>
      <w:r w:rsidR="002C46E3" w:rsidRPr="00BE10AE">
        <w:rPr>
          <w:rFonts w:ascii="Garamond" w:hAnsi="Garamond"/>
          <w:b/>
          <w:bCs/>
          <w:sz w:val="26"/>
          <w:szCs w:val="26"/>
        </w:rPr>
        <w:t>do you</w:t>
      </w:r>
      <w:r w:rsidR="00D26F54" w:rsidRPr="00BE10AE">
        <w:rPr>
          <w:rFonts w:ascii="Garamond" w:hAnsi="Garamond"/>
          <w:b/>
          <w:bCs/>
          <w:sz w:val="26"/>
          <w:szCs w:val="26"/>
        </w:rPr>
        <w:t xml:space="preserve"> litigate a coerced plea</w:t>
      </w:r>
      <w:r w:rsidR="00333EFF" w:rsidRPr="00BE10AE">
        <w:rPr>
          <w:rFonts w:ascii="Garamond" w:hAnsi="Garamond"/>
          <w:b/>
          <w:bCs/>
          <w:sz w:val="26"/>
          <w:szCs w:val="26"/>
        </w:rPr>
        <w:t xml:space="preserve"> post-conviction</w:t>
      </w:r>
      <w:r w:rsidR="002C46E3" w:rsidRPr="00BE10AE">
        <w:rPr>
          <w:rFonts w:ascii="Garamond" w:hAnsi="Garamond"/>
          <w:b/>
          <w:bCs/>
          <w:sz w:val="26"/>
          <w:szCs w:val="26"/>
        </w:rPr>
        <w:t>?</w:t>
      </w:r>
    </w:p>
    <w:p w14:paraId="0CE12CCE" w14:textId="77777777" w:rsidR="00C80849" w:rsidRPr="00BE10AE" w:rsidRDefault="0025759B" w:rsidP="00511D8B">
      <w:pPr>
        <w:spacing w:line="360" w:lineRule="auto"/>
        <w:ind w:firstLine="360"/>
        <w:contextualSpacing/>
        <w:rPr>
          <w:rFonts w:ascii="Garamond" w:hAnsi="Garamond"/>
          <w:sz w:val="26"/>
          <w:szCs w:val="26"/>
        </w:rPr>
      </w:pPr>
      <w:r w:rsidRPr="00BE10AE">
        <w:rPr>
          <w:rFonts w:ascii="Garamond" w:hAnsi="Garamond"/>
          <w:sz w:val="26"/>
          <w:szCs w:val="26"/>
        </w:rPr>
        <w:t xml:space="preserve">There are two ways to litigate coerced pleas post-conviction. </w:t>
      </w:r>
      <w:r w:rsidR="00034B10" w:rsidRPr="00BE10AE">
        <w:rPr>
          <w:rFonts w:ascii="Garamond" w:hAnsi="Garamond"/>
          <w:sz w:val="26"/>
          <w:szCs w:val="26"/>
        </w:rPr>
        <w:t xml:space="preserve">The first is when the defendant </w:t>
      </w:r>
      <w:r w:rsidR="000A2D1E" w:rsidRPr="00BE10AE">
        <w:rPr>
          <w:rFonts w:ascii="Garamond" w:hAnsi="Garamond"/>
          <w:sz w:val="26"/>
          <w:szCs w:val="26"/>
        </w:rPr>
        <w:t xml:space="preserve">has already </w:t>
      </w:r>
      <w:r w:rsidR="00034B10" w:rsidRPr="00BE10AE">
        <w:rPr>
          <w:rFonts w:ascii="Garamond" w:hAnsi="Garamond"/>
          <w:sz w:val="26"/>
          <w:szCs w:val="26"/>
        </w:rPr>
        <w:t xml:space="preserve">moved to withdraw his plea in the trial court, which is what happened </w:t>
      </w:r>
      <w:r w:rsidR="00B50518" w:rsidRPr="00BE10AE">
        <w:rPr>
          <w:rFonts w:ascii="Garamond" w:hAnsi="Garamond"/>
          <w:i/>
          <w:iCs/>
          <w:sz w:val="26"/>
          <w:szCs w:val="26"/>
        </w:rPr>
        <w:t>Sandoval</w:t>
      </w:r>
      <w:r w:rsidR="00B50518" w:rsidRPr="00BE10AE">
        <w:rPr>
          <w:rFonts w:ascii="Garamond" w:hAnsi="Garamond"/>
          <w:sz w:val="26"/>
          <w:szCs w:val="26"/>
        </w:rPr>
        <w:t xml:space="preserve"> and </w:t>
      </w:r>
      <w:r w:rsidR="00B50518" w:rsidRPr="00BE10AE">
        <w:rPr>
          <w:rFonts w:ascii="Garamond" w:hAnsi="Garamond"/>
          <w:i/>
          <w:iCs/>
          <w:sz w:val="26"/>
          <w:szCs w:val="26"/>
        </w:rPr>
        <w:t>Weaver</w:t>
      </w:r>
      <w:r w:rsidR="0073586D" w:rsidRPr="00BE10AE">
        <w:rPr>
          <w:rFonts w:ascii="Garamond" w:hAnsi="Garamond"/>
          <w:sz w:val="26"/>
          <w:szCs w:val="26"/>
        </w:rPr>
        <w:t xml:space="preserve">. </w:t>
      </w:r>
      <w:r w:rsidR="00686165" w:rsidRPr="00BE10AE">
        <w:rPr>
          <w:rFonts w:ascii="Garamond" w:hAnsi="Garamond"/>
          <w:sz w:val="26"/>
          <w:szCs w:val="26"/>
        </w:rPr>
        <w:t xml:space="preserve">The denial of a motion to withdraw a plea is cognizable </w:t>
      </w:r>
      <w:r w:rsidR="00CF1576" w:rsidRPr="00BE10AE">
        <w:rPr>
          <w:rFonts w:ascii="Garamond" w:hAnsi="Garamond"/>
          <w:sz w:val="26"/>
          <w:szCs w:val="26"/>
        </w:rPr>
        <w:t>on appeal from a guilty plea,</w:t>
      </w:r>
      <w:r w:rsidR="0081222C" w:rsidRPr="00BE10AE">
        <w:rPr>
          <w:rFonts w:ascii="Garamond" w:hAnsi="Garamond"/>
          <w:sz w:val="26"/>
          <w:szCs w:val="26"/>
        </w:rPr>
        <w:t xml:space="preserve"> provided the notice of appeal include</w:t>
      </w:r>
      <w:r w:rsidR="00C80849" w:rsidRPr="00BE10AE">
        <w:rPr>
          <w:rFonts w:ascii="Garamond" w:hAnsi="Garamond"/>
          <w:sz w:val="26"/>
          <w:szCs w:val="26"/>
        </w:rPr>
        <w:t>s</w:t>
      </w:r>
      <w:r w:rsidR="0081222C" w:rsidRPr="00BE10AE">
        <w:rPr>
          <w:rFonts w:ascii="Garamond" w:hAnsi="Garamond"/>
          <w:sz w:val="26"/>
          <w:szCs w:val="26"/>
        </w:rPr>
        <w:t xml:space="preserve"> a certificate of probable cause. (</w:t>
      </w:r>
      <w:r w:rsidR="0081222C" w:rsidRPr="00BE10AE">
        <w:rPr>
          <w:rFonts w:ascii="Garamond" w:hAnsi="Garamond"/>
          <w:i/>
          <w:iCs/>
          <w:sz w:val="26"/>
          <w:szCs w:val="26"/>
        </w:rPr>
        <w:t>In re Chavez</w:t>
      </w:r>
      <w:r w:rsidR="0081222C" w:rsidRPr="00BE10AE">
        <w:rPr>
          <w:rFonts w:ascii="Garamond" w:hAnsi="Garamond"/>
          <w:sz w:val="26"/>
          <w:szCs w:val="26"/>
        </w:rPr>
        <w:t xml:space="preserve"> (2003) 30 Cal.4th 643,</w:t>
      </w:r>
      <w:r w:rsidR="00194F62" w:rsidRPr="00BE10AE">
        <w:rPr>
          <w:rFonts w:ascii="Garamond" w:hAnsi="Garamond"/>
          <w:sz w:val="26"/>
          <w:szCs w:val="26"/>
        </w:rPr>
        <w:t xml:space="preserve"> </w:t>
      </w:r>
      <w:r w:rsidR="0081222C" w:rsidRPr="00BE10AE">
        <w:rPr>
          <w:rFonts w:ascii="Garamond" w:hAnsi="Garamond"/>
          <w:sz w:val="26"/>
          <w:szCs w:val="26"/>
        </w:rPr>
        <w:t>650–651.)</w:t>
      </w:r>
      <w:r w:rsidR="0073586D" w:rsidRPr="00BE10AE">
        <w:rPr>
          <w:rFonts w:ascii="Garamond" w:hAnsi="Garamond"/>
          <w:sz w:val="26"/>
          <w:szCs w:val="26"/>
        </w:rPr>
        <w:t xml:space="preserve"> And t</w:t>
      </w:r>
      <w:r w:rsidR="00711F30" w:rsidRPr="00BE10AE">
        <w:rPr>
          <w:rFonts w:ascii="Garamond" w:hAnsi="Garamond"/>
          <w:sz w:val="26"/>
          <w:szCs w:val="26"/>
        </w:rPr>
        <w:t>he law on motions to withdraw a plea is relatively straight forward</w:t>
      </w:r>
      <w:r w:rsidR="0019555C" w:rsidRPr="00BE10AE">
        <w:rPr>
          <w:rFonts w:ascii="Garamond" w:hAnsi="Garamond"/>
          <w:sz w:val="26"/>
          <w:szCs w:val="26"/>
        </w:rPr>
        <w:t xml:space="preserve">: </w:t>
      </w:r>
      <w:r w:rsidR="00711F30" w:rsidRPr="00BE10AE">
        <w:rPr>
          <w:rFonts w:ascii="Garamond" w:hAnsi="Garamond"/>
          <w:sz w:val="26"/>
          <w:szCs w:val="26"/>
        </w:rPr>
        <w:t>A defendant who seeks to withdraw his guilty plea may do so before judgment has been entered upon a showing of good cause. (</w:t>
      </w:r>
      <w:r w:rsidR="00711F30" w:rsidRPr="00BE10AE">
        <w:rPr>
          <w:rFonts w:ascii="Garamond" w:hAnsi="Garamond"/>
          <w:i/>
          <w:iCs/>
          <w:sz w:val="26"/>
          <w:szCs w:val="26"/>
        </w:rPr>
        <w:t>In re Vargas</w:t>
      </w:r>
      <w:r w:rsidR="00711F30" w:rsidRPr="00BE10AE">
        <w:rPr>
          <w:rFonts w:ascii="Garamond" w:hAnsi="Garamond"/>
          <w:sz w:val="26"/>
          <w:szCs w:val="26"/>
        </w:rPr>
        <w:t xml:space="preserve"> (2000) 83 Cal.App.4th 1125, 1142; </w:t>
      </w:r>
      <w:r w:rsidR="00711F30" w:rsidRPr="00BE10AE">
        <w:rPr>
          <w:rFonts w:ascii="Garamond" w:hAnsi="Garamond"/>
          <w:i/>
          <w:iCs/>
          <w:sz w:val="26"/>
          <w:szCs w:val="26"/>
        </w:rPr>
        <w:t>People v. Castaneda</w:t>
      </w:r>
      <w:r w:rsidR="00711F30" w:rsidRPr="00BE10AE">
        <w:rPr>
          <w:rFonts w:ascii="Garamond" w:hAnsi="Garamond"/>
          <w:sz w:val="26"/>
          <w:szCs w:val="26"/>
        </w:rPr>
        <w:t xml:space="preserve"> (1995) 37 Cal.App.4th 1612, 1616–1617.) </w:t>
      </w:r>
      <w:r w:rsidR="003F3D52" w:rsidRPr="00BE10AE">
        <w:rPr>
          <w:rFonts w:ascii="Garamond" w:hAnsi="Garamond"/>
          <w:sz w:val="26"/>
          <w:szCs w:val="26"/>
        </w:rPr>
        <w:t xml:space="preserve">Good cause can include coercion or duress, and it must be shown by clear and convincing evidence. </w:t>
      </w:r>
      <w:r w:rsidR="000A2B88" w:rsidRPr="00BE10AE">
        <w:rPr>
          <w:rFonts w:ascii="Garamond" w:hAnsi="Garamond"/>
          <w:sz w:val="26"/>
          <w:szCs w:val="26"/>
        </w:rPr>
        <w:t>(</w:t>
      </w:r>
      <w:r w:rsidR="000A2B88" w:rsidRPr="00BE10AE">
        <w:rPr>
          <w:rFonts w:ascii="Garamond" w:hAnsi="Garamond"/>
          <w:i/>
          <w:iCs/>
          <w:sz w:val="26"/>
          <w:szCs w:val="26"/>
        </w:rPr>
        <w:t>Sandoval</w:t>
      </w:r>
      <w:r w:rsidR="000A2B88" w:rsidRPr="00BE10AE">
        <w:rPr>
          <w:rFonts w:ascii="Garamond" w:hAnsi="Garamond"/>
          <w:sz w:val="26"/>
          <w:szCs w:val="26"/>
        </w:rPr>
        <w:t xml:space="preserve">, </w:t>
      </w:r>
      <w:r w:rsidR="000A2B88" w:rsidRPr="00BE10AE">
        <w:rPr>
          <w:rFonts w:ascii="Garamond" w:hAnsi="Garamond"/>
          <w:i/>
          <w:iCs/>
          <w:sz w:val="26"/>
          <w:szCs w:val="26"/>
        </w:rPr>
        <w:t>supra</w:t>
      </w:r>
      <w:r w:rsidR="000A2B88" w:rsidRPr="00BE10AE">
        <w:rPr>
          <w:rFonts w:ascii="Garamond" w:hAnsi="Garamond"/>
          <w:sz w:val="26"/>
          <w:szCs w:val="26"/>
        </w:rPr>
        <w:t xml:space="preserve">, 140 Cal.App.4th at p. 123.) </w:t>
      </w:r>
      <w:r w:rsidR="00711F30" w:rsidRPr="00BE10AE">
        <w:rPr>
          <w:rFonts w:ascii="Garamond" w:hAnsi="Garamond"/>
          <w:sz w:val="26"/>
          <w:szCs w:val="26"/>
        </w:rPr>
        <w:t>The trial court</w:t>
      </w:r>
      <w:r w:rsidR="00345E47" w:rsidRPr="00BE10AE">
        <w:rPr>
          <w:rFonts w:ascii="Garamond" w:hAnsi="Garamond"/>
          <w:sz w:val="26"/>
          <w:szCs w:val="26"/>
        </w:rPr>
        <w:t>’</w:t>
      </w:r>
      <w:r w:rsidR="00711F30" w:rsidRPr="00BE10AE">
        <w:rPr>
          <w:rFonts w:ascii="Garamond" w:hAnsi="Garamond"/>
          <w:sz w:val="26"/>
          <w:szCs w:val="26"/>
        </w:rPr>
        <w:t xml:space="preserve">s </w:t>
      </w:r>
      <w:r w:rsidR="00194F62" w:rsidRPr="00BE10AE">
        <w:rPr>
          <w:rFonts w:ascii="Garamond" w:hAnsi="Garamond"/>
          <w:sz w:val="26"/>
          <w:szCs w:val="26"/>
        </w:rPr>
        <w:t xml:space="preserve">denial is reviewed for an abuse of discretion. </w:t>
      </w:r>
      <w:r w:rsidR="000C7D31" w:rsidRPr="00BE10AE">
        <w:rPr>
          <w:rFonts w:ascii="Garamond" w:hAnsi="Garamond"/>
          <w:sz w:val="26"/>
          <w:szCs w:val="26"/>
        </w:rPr>
        <w:t>(</w:t>
      </w:r>
      <w:r w:rsidR="000C7D31" w:rsidRPr="00BE10AE">
        <w:rPr>
          <w:rFonts w:ascii="Garamond" w:hAnsi="Garamond"/>
          <w:i/>
          <w:iCs/>
          <w:sz w:val="26"/>
          <w:szCs w:val="26"/>
        </w:rPr>
        <w:t>Ibid</w:t>
      </w:r>
      <w:r w:rsidR="000C7D31" w:rsidRPr="00BE10AE">
        <w:rPr>
          <w:rFonts w:ascii="Garamond" w:hAnsi="Garamond"/>
          <w:sz w:val="26"/>
          <w:szCs w:val="26"/>
        </w:rPr>
        <w:t>.)</w:t>
      </w:r>
      <w:r w:rsidR="00511D8B" w:rsidRPr="00BE10AE">
        <w:rPr>
          <w:rFonts w:ascii="Garamond" w:hAnsi="Garamond"/>
          <w:sz w:val="26"/>
          <w:szCs w:val="26"/>
        </w:rPr>
        <w:t xml:space="preserve"> </w:t>
      </w:r>
    </w:p>
    <w:p w14:paraId="0EDAA260" w14:textId="5C8EBCA6" w:rsidR="00194F62" w:rsidRPr="00BE10AE" w:rsidRDefault="00F5463E" w:rsidP="00194F62">
      <w:pPr>
        <w:spacing w:line="360" w:lineRule="auto"/>
        <w:ind w:firstLine="360"/>
        <w:contextualSpacing/>
        <w:rPr>
          <w:rFonts w:ascii="Garamond" w:hAnsi="Garamond"/>
          <w:sz w:val="26"/>
          <w:szCs w:val="26"/>
        </w:rPr>
      </w:pPr>
      <w:r w:rsidRPr="00BE10AE">
        <w:rPr>
          <w:rFonts w:ascii="Garamond" w:hAnsi="Garamond"/>
          <w:sz w:val="26"/>
          <w:szCs w:val="26"/>
        </w:rPr>
        <w:t xml:space="preserve">The second way </w:t>
      </w:r>
      <w:r w:rsidR="000C7D31" w:rsidRPr="00BE10AE">
        <w:rPr>
          <w:rFonts w:ascii="Garamond" w:hAnsi="Garamond"/>
          <w:sz w:val="26"/>
          <w:szCs w:val="26"/>
        </w:rPr>
        <w:t xml:space="preserve">to challenge a coerced plea </w:t>
      </w:r>
      <w:r w:rsidRPr="00BE10AE">
        <w:rPr>
          <w:rFonts w:ascii="Garamond" w:hAnsi="Garamond"/>
          <w:sz w:val="26"/>
          <w:szCs w:val="26"/>
        </w:rPr>
        <w:t xml:space="preserve">is to file a habeas petition </w:t>
      </w:r>
      <w:r w:rsidR="00E705AF" w:rsidRPr="00BE10AE">
        <w:rPr>
          <w:rFonts w:ascii="Garamond" w:hAnsi="Garamond"/>
          <w:sz w:val="26"/>
          <w:szCs w:val="26"/>
        </w:rPr>
        <w:t>arguing that the plea was the result of improper coercion</w:t>
      </w:r>
      <w:r w:rsidRPr="00BE10AE">
        <w:rPr>
          <w:rFonts w:ascii="Garamond" w:hAnsi="Garamond"/>
          <w:sz w:val="26"/>
          <w:szCs w:val="26"/>
        </w:rPr>
        <w:t>.</w:t>
      </w:r>
      <w:r w:rsidR="00653C6D" w:rsidRPr="00BE10AE">
        <w:rPr>
          <w:rFonts w:ascii="Garamond" w:hAnsi="Garamond"/>
          <w:sz w:val="26"/>
          <w:szCs w:val="26"/>
        </w:rPr>
        <w:t xml:space="preserve"> In </w:t>
      </w:r>
      <w:r w:rsidR="00653C6D" w:rsidRPr="00BE10AE">
        <w:rPr>
          <w:rFonts w:ascii="Garamond" w:hAnsi="Garamond"/>
          <w:i/>
          <w:iCs/>
          <w:sz w:val="26"/>
          <w:szCs w:val="26"/>
        </w:rPr>
        <w:t>Ibarra</w:t>
      </w:r>
      <w:r w:rsidR="00D7456F" w:rsidRPr="00BE10AE">
        <w:rPr>
          <w:rFonts w:ascii="Garamond" w:hAnsi="Garamond"/>
          <w:sz w:val="26"/>
          <w:szCs w:val="26"/>
        </w:rPr>
        <w:t xml:space="preserve">, </w:t>
      </w:r>
      <w:r w:rsidR="00D7456F" w:rsidRPr="00BE10AE">
        <w:rPr>
          <w:rFonts w:ascii="Garamond" w:hAnsi="Garamond"/>
          <w:i/>
          <w:iCs/>
          <w:sz w:val="26"/>
          <w:szCs w:val="26"/>
        </w:rPr>
        <w:t>supra</w:t>
      </w:r>
      <w:r w:rsidR="00D7456F" w:rsidRPr="00BE10AE">
        <w:rPr>
          <w:rFonts w:ascii="Garamond" w:hAnsi="Garamond"/>
          <w:sz w:val="26"/>
          <w:szCs w:val="26"/>
        </w:rPr>
        <w:t xml:space="preserve">, </w:t>
      </w:r>
      <w:r w:rsidR="00495EE1" w:rsidRPr="00BE10AE">
        <w:rPr>
          <w:rFonts w:ascii="Garamond" w:hAnsi="Garamond"/>
          <w:sz w:val="26"/>
          <w:szCs w:val="26"/>
        </w:rPr>
        <w:t xml:space="preserve">34 Cal.3d 277, the defendant did just that. </w:t>
      </w:r>
      <w:r w:rsidR="00E705AF" w:rsidRPr="00BE10AE">
        <w:rPr>
          <w:rFonts w:ascii="Garamond" w:hAnsi="Garamond"/>
          <w:i/>
          <w:iCs/>
          <w:sz w:val="26"/>
          <w:szCs w:val="26"/>
        </w:rPr>
        <w:t>Ibarra</w:t>
      </w:r>
      <w:r w:rsidR="00E705AF" w:rsidRPr="00BE10AE">
        <w:rPr>
          <w:rFonts w:ascii="Garamond" w:hAnsi="Garamond"/>
          <w:sz w:val="26"/>
          <w:szCs w:val="26"/>
        </w:rPr>
        <w:t xml:space="preserve"> </w:t>
      </w:r>
      <w:r w:rsidR="00495EE1" w:rsidRPr="00BE10AE">
        <w:rPr>
          <w:rFonts w:ascii="Garamond" w:hAnsi="Garamond"/>
          <w:sz w:val="26"/>
          <w:szCs w:val="26"/>
        </w:rPr>
        <w:t>invol</w:t>
      </w:r>
      <w:r w:rsidR="003754C6" w:rsidRPr="00BE10AE">
        <w:rPr>
          <w:rFonts w:ascii="Garamond" w:hAnsi="Garamond"/>
          <w:sz w:val="26"/>
          <w:szCs w:val="26"/>
        </w:rPr>
        <w:t xml:space="preserve">ved three-codefendants all charged with robbery. </w:t>
      </w:r>
      <w:r w:rsidR="00CD07B2" w:rsidRPr="00BE10AE">
        <w:rPr>
          <w:rFonts w:ascii="Garamond" w:hAnsi="Garamond"/>
          <w:sz w:val="26"/>
          <w:szCs w:val="26"/>
        </w:rPr>
        <w:t>(</w:t>
      </w:r>
      <w:r w:rsidR="00C80849" w:rsidRPr="00BE10AE">
        <w:rPr>
          <w:rFonts w:ascii="Garamond" w:hAnsi="Garamond"/>
          <w:i/>
          <w:iCs/>
          <w:sz w:val="26"/>
          <w:szCs w:val="26"/>
        </w:rPr>
        <w:t>Id</w:t>
      </w:r>
      <w:r w:rsidR="00C80849" w:rsidRPr="00BE10AE">
        <w:rPr>
          <w:rFonts w:ascii="Garamond" w:hAnsi="Garamond"/>
          <w:sz w:val="26"/>
          <w:szCs w:val="26"/>
        </w:rPr>
        <w:t>.</w:t>
      </w:r>
      <w:r w:rsidR="00F722DE" w:rsidRPr="00BE10AE">
        <w:rPr>
          <w:rFonts w:ascii="Garamond" w:hAnsi="Garamond"/>
          <w:sz w:val="26"/>
          <w:szCs w:val="26"/>
        </w:rPr>
        <w:t xml:space="preserve"> at p. 282.) </w:t>
      </w:r>
      <w:r w:rsidR="00A56348" w:rsidRPr="00BE10AE">
        <w:rPr>
          <w:rFonts w:ascii="Garamond" w:hAnsi="Garamond"/>
          <w:sz w:val="26"/>
          <w:szCs w:val="26"/>
        </w:rPr>
        <w:t>Ibarra</w:t>
      </w:r>
      <w:r w:rsidR="00345E47" w:rsidRPr="00BE10AE">
        <w:rPr>
          <w:rFonts w:ascii="Garamond" w:hAnsi="Garamond"/>
          <w:sz w:val="26"/>
          <w:szCs w:val="26"/>
        </w:rPr>
        <w:t>’</w:t>
      </w:r>
      <w:r w:rsidR="00A56348" w:rsidRPr="00BE10AE">
        <w:rPr>
          <w:rFonts w:ascii="Garamond" w:hAnsi="Garamond"/>
          <w:sz w:val="26"/>
          <w:szCs w:val="26"/>
        </w:rPr>
        <w:t xml:space="preserve">s two </w:t>
      </w:r>
      <w:r w:rsidR="004745B9" w:rsidRPr="00BE10AE">
        <w:rPr>
          <w:rFonts w:ascii="Garamond" w:hAnsi="Garamond"/>
          <w:sz w:val="26"/>
          <w:szCs w:val="26"/>
        </w:rPr>
        <w:t xml:space="preserve">codefendants </w:t>
      </w:r>
      <w:r w:rsidR="00E705AF" w:rsidRPr="00BE10AE">
        <w:rPr>
          <w:rFonts w:ascii="Garamond" w:hAnsi="Garamond"/>
          <w:sz w:val="26"/>
          <w:szCs w:val="26"/>
        </w:rPr>
        <w:t xml:space="preserve">had </w:t>
      </w:r>
      <w:r w:rsidR="004745B9" w:rsidRPr="00BE10AE">
        <w:rPr>
          <w:rFonts w:ascii="Garamond" w:hAnsi="Garamond"/>
          <w:sz w:val="26"/>
          <w:szCs w:val="26"/>
        </w:rPr>
        <w:t xml:space="preserve">held up a store at gunpoint and led the police on a </w:t>
      </w:r>
      <w:r w:rsidR="000525AD" w:rsidRPr="00BE10AE">
        <w:rPr>
          <w:rFonts w:ascii="Garamond" w:hAnsi="Garamond"/>
          <w:sz w:val="26"/>
          <w:szCs w:val="26"/>
        </w:rPr>
        <w:t xml:space="preserve">high-speed </w:t>
      </w:r>
      <w:r w:rsidR="004745B9" w:rsidRPr="00BE10AE">
        <w:rPr>
          <w:rFonts w:ascii="Garamond" w:hAnsi="Garamond"/>
          <w:sz w:val="26"/>
          <w:szCs w:val="26"/>
        </w:rPr>
        <w:t xml:space="preserve">chase, </w:t>
      </w:r>
      <w:r w:rsidR="000525AD" w:rsidRPr="00BE10AE">
        <w:rPr>
          <w:rFonts w:ascii="Garamond" w:hAnsi="Garamond"/>
          <w:sz w:val="26"/>
          <w:szCs w:val="26"/>
        </w:rPr>
        <w:t xml:space="preserve">during </w:t>
      </w:r>
      <w:r w:rsidR="004745B9" w:rsidRPr="00BE10AE">
        <w:rPr>
          <w:rFonts w:ascii="Garamond" w:hAnsi="Garamond"/>
          <w:sz w:val="26"/>
          <w:szCs w:val="26"/>
        </w:rPr>
        <w:t xml:space="preserve">which one of the codefendants fired </w:t>
      </w:r>
      <w:r w:rsidR="00A108C4" w:rsidRPr="00BE10AE">
        <w:rPr>
          <w:rFonts w:ascii="Garamond" w:hAnsi="Garamond"/>
          <w:sz w:val="26"/>
          <w:szCs w:val="26"/>
        </w:rPr>
        <w:t xml:space="preserve">shots </w:t>
      </w:r>
      <w:r w:rsidR="004745B9" w:rsidRPr="00BE10AE">
        <w:rPr>
          <w:rFonts w:ascii="Garamond" w:hAnsi="Garamond"/>
          <w:sz w:val="26"/>
          <w:szCs w:val="26"/>
        </w:rPr>
        <w:t xml:space="preserve">at the police in pursuit. </w:t>
      </w:r>
      <w:r w:rsidR="005F1EAC" w:rsidRPr="00BE10AE">
        <w:rPr>
          <w:rFonts w:ascii="Garamond" w:hAnsi="Garamond"/>
          <w:sz w:val="26"/>
          <w:szCs w:val="26"/>
        </w:rPr>
        <w:t>(</w:t>
      </w:r>
      <w:r w:rsidR="005F1EAC" w:rsidRPr="00BE10AE">
        <w:rPr>
          <w:rFonts w:ascii="Garamond" w:hAnsi="Garamond"/>
          <w:i/>
          <w:iCs/>
          <w:sz w:val="26"/>
          <w:szCs w:val="26"/>
        </w:rPr>
        <w:t>Ibid</w:t>
      </w:r>
      <w:r w:rsidR="005F1EAC" w:rsidRPr="00BE10AE">
        <w:rPr>
          <w:rFonts w:ascii="Garamond" w:hAnsi="Garamond"/>
          <w:sz w:val="26"/>
          <w:szCs w:val="26"/>
        </w:rPr>
        <w:t xml:space="preserve">.) </w:t>
      </w:r>
      <w:r w:rsidR="004745B9" w:rsidRPr="00BE10AE">
        <w:rPr>
          <w:rFonts w:ascii="Garamond" w:hAnsi="Garamond"/>
          <w:sz w:val="26"/>
          <w:szCs w:val="26"/>
        </w:rPr>
        <w:t xml:space="preserve">The officers </w:t>
      </w:r>
      <w:r w:rsidR="00A108C4" w:rsidRPr="00BE10AE">
        <w:rPr>
          <w:rFonts w:ascii="Garamond" w:hAnsi="Garamond"/>
          <w:sz w:val="26"/>
          <w:szCs w:val="26"/>
        </w:rPr>
        <w:t>saw</w:t>
      </w:r>
      <w:r w:rsidR="004745B9" w:rsidRPr="00BE10AE">
        <w:rPr>
          <w:rFonts w:ascii="Garamond" w:hAnsi="Garamond"/>
          <w:sz w:val="26"/>
          <w:szCs w:val="26"/>
        </w:rPr>
        <w:t xml:space="preserve"> Ibarra, who was in the back seat, pull the shooter back in</w:t>
      </w:r>
      <w:r w:rsidR="00F24EF5" w:rsidRPr="00BE10AE">
        <w:rPr>
          <w:rFonts w:ascii="Garamond" w:hAnsi="Garamond"/>
          <w:sz w:val="26"/>
          <w:szCs w:val="26"/>
        </w:rPr>
        <w:t>to</w:t>
      </w:r>
      <w:r w:rsidR="004745B9" w:rsidRPr="00BE10AE">
        <w:rPr>
          <w:rFonts w:ascii="Garamond" w:hAnsi="Garamond"/>
          <w:sz w:val="26"/>
          <w:szCs w:val="26"/>
        </w:rPr>
        <w:t xml:space="preserve"> the car by his belt buckle.</w:t>
      </w:r>
      <w:r w:rsidR="005F1EAC" w:rsidRPr="00BE10AE">
        <w:rPr>
          <w:rFonts w:ascii="Garamond" w:hAnsi="Garamond"/>
          <w:sz w:val="26"/>
          <w:szCs w:val="26"/>
        </w:rPr>
        <w:t xml:space="preserve"> (</w:t>
      </w:r>
      <w:r w:rsidR="005F1EAC" w:rsidRPr="00BE10AE">
        <w:rPr>
          <w:rFonts w:ascii="Garamond" w:hAnsi="Garamond"/>
          <w:i/>
          <w:iCs/>
          <w:sz w:val="26"/>
          <w:szCs w:val="26"/>
        </w:rPr>
        <w:t>Ibid</w:t>
      </w:r>
      <w:r w:rsidR="005F1EAC" w:rsidRPr="00BE10AE">
        <w:rPr>
          <w:rFonts w:ascii="Garamond" w:hAnsi="Garamond"/>
          <w:sz w:val="26"/>
          <w:szCs w:val="26"/>
        </w:rPr>
        <w:t>.)</w:t>
      </w:r>
      <w:r w:rsidR="004745B9" w:rsidRPr="00BE10AE">
        <w:rPr>
          <w:rFonts w:ascii="Garamond" w:hAnsi="Garamond"/>
          <w:sz w:val="26"/>
          <w:szCs w:val="26"/>
        </w:rPr>
        <w:t xml:space="preserve"> </w:t>
      </w:r>
      <w:r w:rsidR="00F24EF5" w:rsidRPr="00BE10AE">
        <w:rPr>
          <w:rFonts w:ascii="Garamond" w:hAnsi="Garamond"/>
          <w:sz w:val="26"/>
          <w:szCs w:val="26"/>
        </w:rPr>
        <w:t xml:space="preserve">Like in </w:t>
      </w:r>
      <w:r w:rsidR="00F24EF5" w:rsidRPr="00BE10AE">
        <w:rPr>
          <w:rFonts w:ascii="Garamond" w:hAnsi="Garamond"/>
          <w:i/>
          <w:iCs/>
          <w:sz w:val="26"/>
          <w:szCs w:val="26"/>
        </w:rPr>
        <w:t>Sandoval</w:t>
      </w:r>
      <w:r w:rsidR="00F24EF5" w:rsidRPr="00BE10AE">
        <w:rPr>
          <w:rFonts w:ascii="Garamond" w:hAnsi="Garamond"/>
          <w:sz w:val="26"/>
          <w:szCs w:val="26"/>
        </w:rPr>
        <w:t>, the prosecutor offer</w:t>
      </w:r>
      <w:r w:rsidR="009134D9" w:rsidRPr="00BE10AE">
        <w:rPr>
          <w:rFonts w:ascii="Garamond" w:hAnsi="Garamond"/>
          <w:sz w:val="26"/>
          <w:szCs w:val="26"/>
        </w:rPr>
        <w:t>e</w:t>
      </w:r>
      <w:r w:rsidR="00F24EF5" w:rsidRPr="00BE10AE">
        <w:rPr>
          <w:rFonts w:ascii="Garamond" w:hAnsi="Garamond"/>
          <w:sz w:val="26"/>
          <w:szCs w:val="26"/>
        </w:rPr>
        <w:t xml:space="preserve">d a package deal: </w:t>
      </w:r>
      <w:r w:rsidR="00492059" w:rsidRPr="00BE10AE">
        <w:rPr>
          <w:rFonts w:ascii="Garamond" w:hAnsi="Garamond"/>
          <w:sz w:val="26"/>
          <w:szCs w:val="26"/>
        </w:rPr>
        <w:t xml:space="preserve">Ibarra </w:t>
      </w:r>
      <w:r w:rsidR="00F24EF5" w:rsidRPr="00BE10AE">
        <w:rPr>
          <w:rFonts w:ascii="Garamond" w:hAnsi="Garamond"/>
          <w:sz w:val="26"/>
          <w:szCs w:val="26"/>
        </w:rPr>
        <w:t>could have</w:t>
      </w:r>
      <w:r w:rsidR="00492059" w:rsidRPr="00BE10AE">
        <w:rPr>
          <w:rFonts w:ascii="Garamond" w:hAnsi="Garamond"/>
          <w:sz w:val="26"/>
          <w:szCs w:val="26"/>
        </w:rPr>
        <w:t xml:space="preserve"> five years, but only if everyone pleaded guilty together</w:t>
      </w:r>
      <w:r w:rsidR="00B81726" w:rsidRPr="00BE10AE">
        <w:rPr>
          <w:rFonts w:ascii="Garamond" w:hAnsi="Garamond"/>
          <w:sz w:val="26"/>
          <w:szCs w:val="26"/>
        </w:rPr>
        <w:t xml:space="preserve">. </w:t>
      </w:r>
      <w:r w:rsidR="00F24EF5" w:rsidRPr="00BE10AE">
        <w:rPr>
          <w:rFonts w:ascii="Garamond" w:hAnsi="Garamond"/>
          <w:sz w:val="26"/>
          <w:szCs w:val="26"/>
        </w:rPr>
        <w:t>Ibarra</w:t>
      </w:r>
      <w:r w:rsidR="00960725" w:rsidRPr="00BE10AE">
        <w:rPr>
          <w:rFonts w:ascii="Garamond" w:hAnsi="Garamond"/>
          <w:sz w:val="26"/>
          <w:szCs w:val="26"/>
        </w:rPr>
        <w:t xml:space="preserve"> agreed to take the deal. </w:t>
      </w:r>
      <w:r w:rsidR="005F1EAC" w:rsidRPr="00BE10AE">
        <w:rPr>
          <w:rFonts w:ascii="Garamond" w:hAnsi="Garamond"/>
          <w:sz w:val="26"/>
          <w:szCs w:val="26"/>
        </w:rPr>
        <w:t>(</w:t>
      </w:r>
      <w:r w:rsidR="005F1EAC" w:rsidRPr="00BE10AE">
        <w:rPr>
          <w:rFonts w:ascii="Garamond" w:hAnsi="Garamond"/>
          <w:i/>
          <w:iCs/>
          <w:sz w:val="26"/>
          <w:szCs w:val="26"/>
        </w:rPr>
        <w:t>Ibid</w:t>
      </w:r>
      <w:r w:rsidR="005F1EAC" w:rsidRPr="00BE10AE">
        <w:rPr>
          <w:rFonts w:ascii="Garamond" w:hAnsi="Garamond"/>
          <w:sz w:val="26"/>
          <w:szCs w:val="26"/>
        </w:rPr>
        <w:t>.)</w:t>
      </w:r>
    </w:p>
    <w:p w14:paraId="53D32B12" w14:textId="2F5C376A" w:rsidR="00855F73" w:rsidRPr="00BE10AE" w:rsidRDefault="00A75284" w:rsidP="005B4462">
      <w:pPr>
        <w:spacing w:line="360" w:lineRule="auto"/>
        <w:ind w:firstLine="360"/>
        <w:contextualSpacing/>
        <w:rPr>
          <w:rFonts w:ascii="Garamond" w:hAnsi="Garamond"/>
          <w:sz w:val="26"/>
          <w:szCs w:val="26"/>
        </w:rPr>
      </w:pPr>
      <w:r w:rsidRPr="00BE10AE">
        <w:rPr>
          <w:rFonts w:ascii="Garamond" w:hAnsi="Garamond"/>
          <w:sz w:val="26"/>
          <w:szCs w:val="26"/>
        </w:rPr>
        <w:t xml:space="preserve">The case then proceeded like many </w:t>
      </w:r>
      <w:r w:rsidR="00772961" w:rsidRPr="00BE10AE">
        <w:rPr>
          <w:rFonts w:ascii="Garamond" w:hAnsi="Garamond"/>
          <w:sz w:val="26"/>
          <w:szCs w:val="26"/>
        </w:rPr>
        <w:t xml:space="preserve">seemingly hopeless cases: Ibarra </w:t>
      </w:r>
      <w:r w:rsidR="007F1A63" w:rsidRPr="00BE10AE">
        <w:rPr>
          <w:rFonts w:ascii="Garamond" w:hAnsi="Garamond"/>
          <w:sz w:val="26"/>
          <w:szCs w:val="26"/>
        </w:rPr>
        <w:t xml:space="preserve">was not </w:t>
      </w:r>
      <w:r w:rsidR="00772961" w:rsidRPr="00BE10AE">
        <w:rPr>
          <w:rFonts w:ascii="Garamond" w:hAnsi="Garamond"/>
          <w:sz w:val="26"/>
          <w:szCs w:val="26"/>
        </w:rPr>
        <w:t>advised about his limited appellate rights</w:t>
      </w:r>
      <w:r w:rsidR="007F1A63" w:rsidRPr="00BE10AE">
        <w:rPr>
          <w:rFonts w:ascii="Garamond" w:hAnsi="Garamond"/>
          <w:sz w:val="26"/>
          <w:szCs w:val="26"/>
        </w:rPr>
        <w:t xml:space="preserve"> at sentencing</w:t>
      </w:r>
      <w:r w:rsidR="00772961" w:rsidRPr="00BE10AE">
        <w:rPr>
          <w:rFonts w:ascii="Garamond" w:hAnsi="Garamond"/>
          <w:sz w:val="26"/>
          <w:szCs w:val="26"/>
        </w:rPr>
        <w:t xml:space="preserve">. </w:t>
      </w:r>
      <w:r w:rsidR="004202D0" w:rsidRPr="00BE10AE">
        <w:rPr>
          <w:rFonts w:ascii="Garamond" w:hAnsi="Garamond"/>
          <w:sz w:val="26"/>
          <w:szCs w:val="26"/>
        </w:rPr>
        <w:t>(</w:t>
      </w:r>
      <w:r w:rsidR="004202D0" w:rsidRPr="00BE10AE">
        <w:rPr>
          <w:rFonts w:ascii="Garamond" w:hAnsi="Garamond"/>
          <w:i/>
          <w:iCs/>
          <w:sz w:val="26"/>
          <w:szCs w:val="26"/>
        </w:rPr>
        <w:t>Ibarra</w:t>
      </w:r>
      <w:r w:rsidR="004202D0" w:rsidRPr="00BE10AE">
        <w:rPr>
          <w:rFonts w:ascii="Garamond" w:hAnsi="Garamond"/>
          <w:sz w:val="26"/>
          <w:szCs w:val="26"/>
        </w:rPr>
        <w:t xml:space="preserve">, </w:t>
      </w:r>
      <w:r w:rsidR="004202D0" w:rsidRPr="00BE10AE">
        <w:rPr>
          <w:rFonts w:ascii="Garamond" w:hAnsi="Garamond"/>
          <w:i/>
          <w:iCs/>
          <w:sz w:val="26"/>
          <w:szCs w:val="26"/>
        </w:rPr>
        <w:t>supra</w:t>
      </w:r>
      <w:r w:rsidR="004202D0" w:rsidRPr="00BE10AE">
        <w:rPr>
          <w:rFonts w:ascii="Garamond" w:hAnsi="Garamond"/>
          <w:sz w:val="26"/>
          <w:szCs w:val="26"/>
        </w:rPr>
        <w:t xml:space="preserve">, 34 Cal.3d at p. 283.) </w:t>
      </w:r>
      <w:r w:rsidR="00AA6ABD" w:rsidRPr="00BE10AE">
        <w:rPr>
          <w:rFonts w:ascii="Garamond" w:hAnsi="Garamond"/>
          <w:sz w:val="26"/>
          <w:szCs w:val="26"/>
        </w:rPr>
        <w:t>Indeed, h</w:t>
      </w:r>
      <w:r w:rsidR="007F1A63" w:rsidRPr="00BE10AE">
        <w:rPr>
          <w:rFonts w:ascii="Garamond" w:hAnsi="Garamond"/>
          <w:sz w:val="26"/>
          <w:szCs w:val="26"/>
        </w:rPr>
        <w:t>e didn</w:t>
      </w:r>
      <w:r w:rsidR="00345E47" w:rsidRPr="00BE10AE">
        <w:rPr>
          <w:rFonts w:ascii="Garamond" w:hAnsi="Garamond"/>
          <w:sz w:val="26"/>
          <w:szCs w:val="26"/>
        </w:rPr>
        <w:t>’</w:t>
      </w:r>
      <w:r w:rsidR="007F1A63" w:rsidRPr="00BE10AE">
        <w:rPr>
          <w:rFonts w:ascii="Garamond" w:hAnsi="Garamond"/>
          <w:sz w:val="26"/>
          <w:szCs w:val="26"/>
        </w:rPr>
        <w:t>t learn of those rights until after 60 days had elapsed, but he filed a notice of appeal</w:t>
      </w:r>
      <w:r w:rsidR="00AA6ABD" w:rsidRPr="00BE10AE">
        <w:rPr>
          <w:rFonts w:ascii="Garamond" w:hAnsi="Garamond"/>
          <w:sz w:val="26"/>
          <w:szCs w:val="26"/>
        </w:rPr>
        <w:t xml:space="preserve"> anyway</w:t>
      </w:r>
      <w:r w:rsidR="007F1A63" w:rsidRPr="00BE10AE">
        <w:rPr>
          <w:rFonts w:ascii="Garamond" w:hAnsi="Garamond"/>
          <w:sz w:val="26"/>
          <w:szCs w:val="26"/>
        </w:rPr>
        <w:t xml:space="preserve">. </w:t>
      </w:r>
      <w:r w:rsidR="004202D0" w:rsidRPr="00BE10AE">
        <w:rPr>
          <w:rFonts w:ascii="Garamond" w:hAnsi="Garamond"/>
          <w:sz w:val="26"/>
          <w:szCs w:val="26"/>
        </w:rPr>
        <w:t>(</w:t>
      </w:r>
      <w:r w:rsidR="004202D0" w:rsidRPr="00BE10AE">
        <w:rPr>
          <w:rFonts w:ascii="Garamond" w:hAnsi="Garamond"/>
          <w:i/>
          <w:iCs/>
          <w:sz w:val="26"/>
          <w:szCs w:val="26"/>
        </w:rPr>
        <w:t>Ibid</w:t>
      </w:r>
      <w:r w:rsidR="004202D0" w:rsidRPr="00BE10AE">
        <w:rPr>
          <w:rFonts w:ascii="Garamond" w:hAnsi="Garamond"/>
          <w:sz w:val="26"/>
          <w:szCs w:val="26"/>
        </w:rPr>
        <w:t xml:space="preserve">.) </w:t>
      </w:r>
      <w:r w:rsidR="007F1A63" w:rsidRPr="00BE10AE">
        <w:rPr>
          <w:rFonts w:ascii="Garamond" w:hAnsi="Garamond"/>
          <w:sz w:val="26"/>
          <w:szCs w:val="26"/>
        </w:rPr>
        <w:t>It was received</w:t>
      </w:r>
      <w:r w:rsidR="00AA6ABD" w:rsidRPr="00BE10AE">
        <w:rPr>
          <w:rFonts w:ascii="Garamond" w:hAnsi="Garamond"/>
          <w:sz w:val="26"/>
          <w:szCs w:val="26"/>
        </w:rPr>
        <w:t xml:space="preserve"> by the Superior Court</w:t>
      </w:r>
      <w:r w:rsidR="007F1A63" w:rsidRPr="00BE10AE">
        <w:rPr>
          <w:rFonts w:ascii="Garamond" w:hAnsi="Garamond"/>
          <w:sz w:val="26"/>
          <w:szCs w:val="26"/>
        </w:rPr>
        <w:t xml:space="preserve"> but not filed. </w:t>
      </w:r>
      <w:r w:rsidR="004202D0" w:rsidRPr="00BE10AE">
        <w:rPr>
          <w:rFonts w:ascii="Garamond" w:hAnsi="Garamond"/>
          <w:sz w:val="26"/>
          <w:szCs w:val="26"/>
        </w:rPr>
        <w:t>(</w:t>
      </w:r>
      <w:r w:rsidR="004202D0" w:rsidRPr="00BE10AE">
        <w:rPr>
          <w:rFonts w:ascii="Garamond" w:hAnsi="Garamond"/>
          <w:i/>
          <w:iCs/>
          <w:sz w:val="26"/>
          <w:szCs w:val="26"/>
        </w:rPr>
        <w:t>Ibid</w:t>
      </w:r>
      <w:r w:rsidR="004202D0" w:rsidRPr="00BE10AE">
        <w:rPr>
          <w:rFonts w:ascii="Garamond" w:hAnsi="Garamond"/>
          <w:sz w:val="26"/>
          <w:szCs w:val="26"/>
        </w:rPr>
        <w:t xml:space="preserve">.) </w:t>
      </w:r>
      <w:r w:rsidR="00AA6ABD" w:rsidRPr="00BE10AE">
        <w:rPr>
          <w:rFonts w:ascii="Garamond" w:hAnsi="Garamond"/>
          <w:sz w:val="26"/>
          <w:szCs w:val="26"/>
        </w:rPr>
        <w:t>Ibarra</w:t>
      </w:r>
      <w:r w:rsidR="00772961" w:rsidRPr="00BE10AE">
        <w:rPr>
          <w:rFonts w:ascii="Garamond" w:hAnsi="Garamond"/>
          <w:sz w:val="26"/>
          <w:szCs w:val="26"/>
        </w:rPr>
        <w:t xml:space="preserve"> </w:t>
      </w:r>
      <w:r w:rsidR="007F1A63" w:rsidRPr="00BE10AE">
        <w:rPr>
          <w:rFonts w:ascii="Garamond" w:hAnsi="Garamond"/>
          <w:sz w:val="26"/>
          <w:szCs w:val="26"/>
        </w:rPr>
        <w:t>then</w:t>
      </w:r>
      <w:r w:rsidR="00772961" w:rsidRPr="00BE10AE">
        <w:rPr>
          <w:rFonts w:ascii="Garamond" w:hAnsi="Garamond"/>
          <w:sz w:val="26"/>
          <w:szCs w:val="26"/>
        </w:rPr>
        <w:t xml:space="preserve"> filed a petition for habeas corpu</w:t>
      </w:r>
      <w:r w:rsidR="00FE24F7" w:rsidRPr="00BE10AE">
        <w:rPr>
          <w:rFonts w:ascii="Garamond" w:hAnsi="Garamond"/>
          <w:sz w:val="26"/>
          <w:szCs w:val="26"/>
        </w:rPr>
        <w:t xml:space="preserve">s in the </w:t>
      </w:r>
      <w:r w:rsidR="007F1A63" w:rsidRPr="00BE10AE">
        <w:rPr>
          <w:rFonts w:ascii="Garamond" w:hAnsi="Garamond"/>
          <w:sz w:val="26"/>
          <w:szCs w:val="26"/>
        </w:rPr>
        <w:t>Court of Appeal</w:t>
      </w:r>
      <w:r w:rsidR="005E33A7" w:rsidRPr="00BE10AE">
        <w:rPr>
          <w:rFonts w:ascii="Garamond" w:hAnsi="Garamond"/>
          <w:sz w:val="26"/>
          <w:szCs w:val="26"/>
        </w:rPr>
        <w:t xml:space="preserve">. </w:t>
      </w:r>
      <w:r w:rsidR="004202D0" w:rsidRPr="00BE10AE">
        <w:rPr>
          <w:rFonts w:ascii="Garamond" w:hAnsi="Garamond"/>
          <w:sz w:val="26"/>
          <w:szCs w:val="26"/>
        </w:rPr>
        <w:t>(</w:t>
      </w:r>
      <w:r w:rsidR="004202D0" w:rsidRPr="00BE10AE">
        <w:rPr>
          <w:rFonts w:ascii="Garamond" w:hAnsi="Garamond"/>
          <w:i/>
          <w:iCs/>
          <w:sz w:val="26"/>
          <w:szCs w:val="26"/>
        </w:rPr>
        <w:t>Ibid</w:t>
      </w:r>
      <w:r w:rsidR="004202D0" w:rsidRPr="00BE10AE">
        <w:rPr>
          <w:rFonts w:ascii="Garamond" w:hAnsi="Garamond"/>
          <w:sz w:val="26"/>
          <w:szCs w:val="26"/>
        </w:rPr>
        <w:t xml:space="preserve">.) </w:t>
      </w:r>
      <w:r w:rsidR="005E33A7" w:rsidRPr="00BE10AE">
        <w:rPr>
          <w:rFonts w:ascii="Garamond" w:hAnsi="Garamond"/>
          <w:sz w:val="26"/>
          <w:szCs w:val="26"/>
        </w:rPr>
        <w:t>He claimed that he wasn</w:t>
      </w:r>
      <w:r w:rsidR="00345E47" w:rsidRPr="00BE10AE">
        <w:rPr>
          <w:rFonts w:ascii="Garamond" w:hAnsi="Garamond"/>
          <w:sz w:val="26"/>
          <w:szCs w:val="26"/>
        </w:rPr>
        <w:t>’</w:t>
      </w:r>
      <w:r w:rsidR="005E33A7" w:rsidRPr="00BE10AE">
        <w:rPr>
          <w:rFonts w:ascii="Garamond" w:hAnsi="Garamond"/>
          <w:sz w:val="26"/>
          <w:szCs w:val="26"/>
        </w:rPr>
        <w:t xml:space="preserve">t guilty—that he had been passed out drunk in the car </w:t>
      </w:r>
      <w:r w:rsidR="004C2063" w:rsidRPr="00BE10AE">
        <w:rPr>
          <w:rFonts w:ascii="Garamond" w:hAnsi="Garamond"/>
          <w:sz w:val="26"/>
          <w:szCs w:val="26"/>
        </w:rPr>
        <w:t>before</w:t>
      </w:r>
      <w:r w:rsidR="005E33A7" w:rsidRPr="00BE10AE">
        <w:rPr>
          <w:rFonts w:ascii="Garamond" w:hAnsi="Garamond"/>
          <w:sz w:val="26"/>
          <w:szCs w:val="26"/>
        </w:rPr>
        <w:t xml:space="preserve"> his codefendants </w:t>
      </w:r>
      <w:r w:rsidR="004C2063" w:rsidRPr="00BE10AE">
        <w:rPr>
          <w:rFonts w:ascii="Garamond" w:hAnsi="Garamond"/>
          <w:sz w:val="26"/>
          <w:szCs w:val="26"/>
        </w:rPr>
        <w:t>decided to rob</w:t>
      </w:r>
      <w:r w:rsidR="005E33A7" w:rsidRPr="00BE10AE">
        <w:rPr>
          <w:rFonts w:ascii="Garamond" w:hAnsi="Garamond"/>
          <w:sz w:val="26"/>
          <w:szCs w:val="26"/>
        </w:rPr>
        <w:t xml:space="preserve"> the store and that he only </w:t>
      </w:r>
      <w:r w:rsidR="00395D2E" w:rsidRPr="00BE10AE">
        <w:rPr>
          <w:rFonts w:ascii="Garamond" w:hAnsi="Garamond"/>
          <w:sz w:val="26"/>
          <w:szCs w:val="26"/>
        </w:rPr>
        <w:t xml:space="preserve">woke up </w:t>
      </w:r>
      <w:r w:rsidR="005E33A7" w:rsidRPr="00BE10AE">
        <w:rPr>
          <w:rFonts w:ascii="Garamond" w:hAnsi="Garamond"/>
          <w:sz w:val="26"/>
          <w:szCs w:val="26"/>
        </w:rPr>
        <w:t>during the chase</w:t>
      </w:r>
      <w:r w:rsidR="00395D2E" w:rsidRPr="00BE10AE">
        <w:rPr>
          <w:rFonts w:ascii="Garamond" w:hAnsi="Garamond"/>
          <w:sz w:val="26"/>
          <w:szCs w:val="26"/>
        </w:rPr>
        <w:t xml:space="preserve">. </w:t>
      </w:r>
      <w:r w:rsidR="004F7D3F" w:rsidRPr="00BE10AE">
        <w:rPr>
          <w:rFonts w:ascii="Garamond" w:hAnsi="Garamond"/>
          <w:sz w:val="26"/>
          <w:szCs w:val="26"/>
        </w:rPr>
        <w:t>(</w:t>
      </w:r>
      <w:r w:rsidR="004F7D3F" w:rsidRPr="00BE10AE">
        <w:rPr>
          <w:rFonts w:ascii="Garamond" w:hAnsi="Garamond"/>
          <w:i/>
          <w:iCs/>
          <w:sz w:val="26"/>
          <w:szCs w:val="26"/>
        </w:rPr>
        <w:t>Id</w:t>
      </w:r>
      <w:r w:rsidR="004F7D3F" w:rsidRPr="00BE10AE">
        <w:rPr>
          <w:rFonts w:ascii="Garamond" w:hAnsi="Garamond"/>
          <w:sz w:val="26"/>
          <w:szCs w:val="26"/>
        </w:rPr>
        <w:t xml:space="preserve">. at p. 282.) </w:t>
      </w:r>
      <w:r w:rsidR="00395D2E" w:rsidRPr="00BE10AE">
        <w:rPr>
          <w:rFonts w:ascii="Garamond" w:hAnsi="Garamond"/>
          <w:sz w:val="26"/>
          <w:szCs w:val="26"/>
        </w:rPr>
        <w:t>Further, he said that</w:t>
      </w:r>
      <w:r w:rsidR="00D22B48" w:rsidRPr="00BE10AE">
        <w:rPr>
          <w:rFonts w:ascii="Garamond" w:hAnsi="Garamond"/>
          <w:sz w:val="26"/>
          <w:szCs w:val="26"/>
        </w:rPr>
        <w:t xml:space="preserve"> he only pleaded guilty because h</w:t>
      </w:r>
      <w:r w:rsidR="00381910" w:rsidRPr="00BE10AE">
        <w:rPr>
          <w:rFonts w:ascii="Garamond" w:hAnsi="Garamond"/>
          <w:sz w:val="26"/>
          <w:szCs w:val="26"/>
        </w:rPr>
        <w:t>e felt pressured to do so by the package-deal plea bargain</w:t>
      </w:r>
      <w:r w:rsidR="00395D2E" w:rsidRPr="00BE10AE">
        <w:rPr>
          <w:rFonts w:ascii="Garamond" w:hAnsi="Garamond"/>
          <w:sz w:val="26"/>
          <w:szCs w:val="26"/>
        </w:rPr>
        <w:t xml:space="preserve"> and that even though he told the judge that he had read the plea form, he hadn</w:t>
      </w:r>
      <w:r w:rsidR="00345E47" w:rsidRPr="00BE10AE">
        <w:rPr>
          <w:rFonts w:ascii="Garamond" w:hAnsi="Garamond"/>
          <w:sz w:val="26"/>
          <w:szCs w:val="26"/>
        </w:rPr>
        <w:t>’</w:t>
      </w:r>
      <w:r w:rsidR="00855F73" w:rsidRPr="00BE10AE">
        <w:rPr>
          <w:rFonts w:ascii="Garamond" w:hAnsi="Garamond"/>
          <w:sz w:val="26"/>
          <w:szCs w:val="26"/>
        </w:rPr>
        <w:t xml:space="preserve">t. </w:t>
      </w:r>
      <w:r w:rsidR="004F7D3F" w:rsidRPr="00BE10AE">
        <w:rPr>
          <w:rFonts w:ascii="Garamond" w:hAnsi="Garamond"/>
          <w:sz w:val="26"/>
          <w:szCs w:val="26"/>
        </w:rPr>
        <w:t>(</w:t>
      </w:r>
      <w:r w:rsidR="004F7D3F" w:rsidRPr="00BE10AE">
        <w:rPr>
          <w:rFonts w:ascii="Garamond" w:hAnsi="Garamond"/>
          <w:i/>
          <w:iCs/>
          <w:sz w:val="26"/>
          <w:szCs w:val="26"/>
        </w:rPr>
        <w:t>Ibid</w:t>
      </w:r>
      <w:r w:rsidR="004F7D3F" w:rsidRPr="00BE10AE">
        <w:rPr>
          <w:rFonts w:ascii="Garamond" w:hAnsi="Garamond"/>
          <w:sz w:val="26"/>
          <w:szCs w:val="26"/>
        </w:rPr>
        <w:t xml:space="preserve">.) </w:t>
      </w:r>
      <w:r w:rsidR="00855F73" w:rsidRPr="00BE10AE">
        <w:rPr>
          <w:rFonts w:ascii="Garamond" w:hAnsi="Garamond"/>
          <w:sz w:val="26"/>
          <w:szCs w:val="26"/>
        </w:rPr>
        <w:t xml:space="preserve">He only told the judge that </w:t>
      </w:r>
      <w:r w:rsidR="000C4978" w:rsidRPr="00BE10AE">
        <w:rPr>
          <w:rFonts w:ascii="Garamond" w:hAnsi="Garamond"/>
          <w:sz w:val="26"/>
          <w:szCs w:val="26"/>
        </w:rPr>
        <w:t xml:space="preserve">he had </w:t>
      </w:r>
      <w:r w:rsidR="00855F73" w:rsidRPr="00BE10AE">
        <w:rPr>
          <w:rFonts w:ascii="Garamond" w:hAnsi="Garamond"/>
          <w:sz w:val="26"/>
          <w:szCs w:val="26"/>
        </w:rPr>
        <w:t>because he thought that was what he was supposed to say.</w:t>
      </w:r>
      <w:r w:rsidR="00D22B48" w:rsidRPr="00BE10AE">
        <w:rPr>
          <w:rFonts w:ascii="Garamond" w:hAnsi="Garamond"/>
          <w:sz w:val="26"/>
          <w:szCs w:val="26"/>
        </w:rPr>
        <w:t xml:space="preserve"> </w:t>
      </w:r>
      <w:r w:rsidR="004B00D2" w:rsidRPr="00BE10AE">
        <w:rPr>
          <w:rFonts w:ascii="Garamond" w:hAnsi="Garamond"/>
          <w:sz w:val="26"/>
          <w:szCs w:val="26"/>
        </w:rPr>
        <w:t>The Court of Appeal denied the petition</w:t>
      </w:r>
      <w:r w:rsidR="00855F73" w:rsidRPr="00BE10AE">
        <w:rPr>
          <w:rFonts w:ascii="Garamond" w:hAnsi="Garamond"/>
          <w:sz w:val="26"/>
          <w:szCs w:val="26"/>
        </w:rPr>
        <w:t>.</w:t>
      </w:r>
      <w:r w:rsidR="004F7D3F" w:rsidRPr="00BE10AE">
        <w:rPr>
          <w:rFonts w:ascii="Garamond" w:hAnsi="Garamond"/>
          <w:sz w:val="26"/>
          <w:szCs w:val="26"/>
        </w:rPr>
        <w:t xml:space="preserve"> (</w:t>
      </w:r>
      <w:r w:rsidR="004F7D3F" w:rsidRPr="00BE10AE">
        <w:rPr>
          <w:rFonts w:ascii="Garamond" w:hAnsi="Garamond"/>
          <w:i/>
          <w:iCs/>
          <w:sz w:val="26"/>
          <w:szCs w:val="26"/>
        </w:rPr>
        <w:t>Ibid</w:t>
      </w:r>
      <w:r w:rsidR="004F7D3F" w:rsidRPr="00BE10AE">
        <w:rPr>
          <w:rFonts w:ascii="Garamond" w:hAnsi="Garamond"/>
          <w:sz w:val="26"/>
          <w:szCs w:val="26"/>
        </w:rPr>
        <w:t>.)</w:t>
      </w:r>
    </w:p>
    <w:p w14:paraId="39A4239C" w14:textId="4CB3CB87" w:rsidR="009A6D7F" w:rsidRPr="00BE10AE" w:rsidRDefault="00855F73" w:rsidP="00194F62">
      <w:pPr>
        <w:spacing w:line="360" w:lineRule="auto"/>
        <w:ind w:firstLine="360"/>
        <w:contextualSpacing/>
        <w:rPr>
          <w:rFonts w:ascii="Garamond" w:hAnsi="Garamond"/>
          <w:sz w:val="26"/>
          <w:szCs w:val="26"/>
        </w:rPr>
      </w:pPr>
      <w:r w:rsidRPr="00BE10AE">
        <w:rPr>
          <w:rFonts w:ascii="Garamond" w:hAnsi="Garamond"/>
          <w:sz w:val="26"/>
          <w:szCs w:val="26"/>
        </w:rPr>
        <w:t>And was that the end of it? No!</w:t>
      </w:r>
      <w:r w:rsidR="004B00D2" w:rsidRPr="00BE10AE">
        <w:rPr>
          <w:rFonts w:ascii="Garamond" w:hAnsi="Garamond"/>
          <w:sz w:val="26"/>
          <w:szCs w:val="26"/>
        </w:rPr>
        <w:t xml:space="preserve"> Ibarra </w:t>
      </w:r>
      <w:r w:rsidR="005B4462" w:rsidRPr="00BE10AE">
        <w:rPr>
          <w:rFonts w:ascii="Garamond" w:hAnsi="Garamond"/>
          <w:sz w:val="26"/>
          <w:szCs w:val="26"/>
        </w:rPr>
        <w:t xml:space="preserve">petitioned the Supreme Court, </w:t>
      </w:r>
      <w:r w:rsidRPr="00BE10AE">
        <w:rPr>
          <w:rFonts w:ascii="Garamond" w:hAnsi="Garamond"/>
          <w:sz w:val="26"/>
          <w:szCs w:val="26"/>
        </w:rPr>
        <w:t>and the Supreme</w:t>
      </w:r>
      <w:r w:rsidR="00765F57" w:rsidRPr="00BE10AE">
        <w:rPr>
          <w:rFonts w:ascii="Garamond" w:hAnsi="Garamond"/>
          <w:sz w:val="26"/>
          <w:szCs w:val="26"/>
        </w:rPr>
        <w:t xml:space="preserve"> Court</w:t>
      </w:r>
      <w:r w:rsidR="005B4462" w:rsidRPr="00BE10AE">
        <w:rPr>
          <w:rFonts w:ascii="Garamond" w:hAnsi="Garamond"/>
          <w:sz w:val="26"/>
          <w:szCs w:val="26"/>
        </w:rPr>
        <w:t xml:space="preserve"> issued an order to show cause. </w:t>
      </w:r>
      <w:r w:rsidR="00FB2A1F" w:rsidRPr="00BE10AE">
        <w:rPr>
          <w:rFonts w:ascii="Garamond" w:hAnsi="Garamond"/>
          <w:sz w:val="26"/>
          <w:szCs w:val="26"/>
        </w:rPr>
        <w:t>(</w:t>
      </w:r>
      <w:r w:rsidR="00FB2A1F" w:rsidRPr="00BE10AE">
        <w:rPr>
          <w:rFonts w:ascii="Garamond" w:hAnsi="Garamond"/>
          <w:i/>
          <w:iCs/>
          <w:sz w:val="26"/>
          <w:szCs w:val="26"/>
        </w:rPr>
        <w:t>Ibarra</w:t>
      </w:r>
      <w:r w:rsidR="00FB2A1F" w:rsidRPr="00BE10AE">
        <w:rPr>
          <w:rFonts w:ascii="Garamond" w:hAnsi="Garamond"/>
          <w:sz w:val="26"/>
          <w:szCs w:val="26"/>
        </w:rPr>
        <w:t xml:space="preserve">, </w:t>
      </w:r>
      <w:r w:rsidR="00FB2A1F" w:rsidRPr="00BE10AE">
        <w:rPr>
          <w:rFonts w:ascii="Garamond" w:hAnsi="Garamond"/>
          <w:i/>
          <w:iCs/>
          <w:sz w:val="26"/>
          <w:szCs w:val="26"/>
        </w:rPr>
        <w:t>supra</w:t>
      </w:r>
      <w:r w:rsidR="00FB2A1F" w:rsidRPr="00BE10AE">
        <w:rPr>
          <w:rFonts w:ascii="Garamond" w:hAnsi="Garamond"/>
          <w:sz w:val="26"/>
          <w:szCs w:val="26"/>
        </w:rPr>
        <w:t xml:space="preserve">, 34 Cal.3d at p. 283.) </w:t>
      </w:r>
      <w:r w:rsidR="00B5277E" w:rsidRPr="00BE10AE">
        <w:rPr>
          <w:rFonts w:ascii="Garamond" w:hAnsi="Garamond"/>
          <w:sz w:val="26"/>
          <w:szCs w:val="26"/>
        </w:rPr>
        <w:t>Package-deal plea bargains</w:t>
      </w:r>
      <w:r w:rsidR="00D34E94" w:rsidRPr="00BE10AE">
        <w:rPr>
          <w:rFonts w:ascii="Garamond" w:hAnsi="Garamond"/>
          <w:sz w:val="26"/>
          <w:szCs w:val="26"/>
        </w:rPr>
        <w:t xml:space="preserve">, the Court said, </w:t>
      </w:r>
      <w:r w:rsidR="00345E47" w:rsidRPr="00BE10AE">
        <w:rPr>
          <w:rFonts w:ascii="Garamond" w:hAnsi="Garamond"/>
          <w:sz w:val="26"/>
          <w:szCs w:val="26"/>
        </w:rPr>
        <w:t>“</w:t>
      </w:r>
      <w:r w:rsidR="00B5277E" w:rsidRPr="00BE10AE">
        <w:rPr>
          <w:rFonts w:ascii="Garamond" w:hAnsi="Garamond"/>
          <w:sz w:val="26"/>
          <w:szCs w:val="26"/>
        </w:rPr>
        <w:t>may approach the line of unreasonableness.</w:t>
      </w:r>
      <w:r w:rsidR="00345E47" w:rsidRPr="00BE10AE">
        <w:rPr>
          <w:rFonts w:ascii="Garamond" w:hAnsi="Garamond"/>
          <w:sz w:val="26"/>
          <w:szCs w:val="26"/>
        </w:rPr>
        <w:t>”</w:t>
      </w:r>
      <w:r w:rsidR="00644674" w:rsidRPr="00BE10AE">
        <w:rPr>
          <w:rFonts w:ascii="Garamond" w:hAnsi="Garamond"/>
          <w:sz w:val="26"/>
          <w:szCs w:val="26"/>
        </w:rPr>
        <w:t xml:space="preserve"> (</w:t>
      </w:r>
      <w:r w:rsidR="00644674" w:rsidRPr="00BE10AE">
        <w:rPr>
          <w:rFonts w:ascii="Garamond" w:hAnsi="Garamond"/>
          <w:i/>
          <w:iCs/>
          <w:sz w:val="26"/>
          <w:szCs w:val="26"/>
        </w:rPr>
        <w:t>Id</w:t>
      </w:r>
      <w:r w:rsidR="00644674" w:rsidRPr="00BE10AE">
        <w:rPr>
          <w:rFonts w:ascii="Garamond" w:hAnsi="Garamond"/>
          <w:sz w:val="26"/>
          <w:szCs w:val="26"/>
        </w:rPr>
        <w:t>. at p. 287.)</w:t>
      </w:r>
      <w:r w:rsidR="00B5277E" w:rsidRPr="00BE10AE">
        <w:rPr>
          <w:rFonts w:ascii="Garamond" w:hAnsi="Garamond"/>
          <w:sz w:val="26"/>
          <w:szCs w:val="26"/>
        </w:rPr>
        <w:t xml:space="preserve"> </w:t>
      </w:r>
      <w:r w:rsidR="004622F0" w:rsidRPr="00BE10AE">
        <w:rPr>
          <w:rFonts w:ascii="Garamond" w:hAnsi="Garamond"/>
          <w:sz w:val="26"/>
          <w:szCs w:val="26"/>
        </w:rPr>
        <w:t xml:space="preserve">Normal, single-defendant plea bargains involve some degree of pressure. </w:t>
      </w:r>
      <w:r w:rsidR="00644674" w:rsidRPr="00BE10AE">
        <w:rPr>
          <w:rFonts w:ascii="Garamond" w:hAnsi="Garamond"/>
          <w:sz w:val="26"/>
          <w:szCs w:val="26"/>
        </w:rPr>
        <w:t>(</w:t>
      </w:r>
      <w:r w:rsidR="00644674" w:rsidRPr="00BE10AE">
        <w:rPr>
          <w:rFonts w:ascii="Garamond" w:hAnsi="Garamond"/>
          <w:i/>
          <w:iCs/>
          <w:sz w:val="26"/>
          <w:szCs w:val="26"/>
        </w:rPr>
        <w:t>Ibid</w:t>
      </w:r>
      <w:r w:rsidR="00644674" w:rsidRPr="00BE10AE">
        <w:rPr>
          <w:rFonts w:ascii="Garamond" w:hAnsi="Garamond"/>
          <w:sz w:val="26"/>
          <w:szCs w:val="26"/>
        </w:rPr>
        <w:t xml:space="preserve">.) </w:t>
      </w:r>
      <w:r w:rsidR="004622F0" w:rsidRPr="00BE10AE">
        <w:rPr>
          <w:rFonts w:ascii="Garamond" w:hAnsi="Garamond"/>
          <w:sz w:val="26"/>
          <w:szCs w:val="26"/>
        </w:rPr>
        <w:t xml:space="preserve">The defendant must weigh the certainty of the sentence offered in the plea against the risk of going to trial. </w:t>
      </w:r>
      <w:r w:rsidR="00644674" w:rsidRPr="00BE10AE">
        <w:rPr>
          <w:rFonts w:ascii="Garamond" w:hAnsi="Garamond"/>
          <w:sz w:val="26"/>
          <w:szCs w:val="26"/>
        </w:rPr>
        <w:t>(</w:t>
      </w:r>
      <w:r w:rsidR="00644674" w:rsidRPr="00BE10AE">
        <w:rPr>
          <w:rFonts w:ascii="Garamond" w:hAnsi="Garamond"/>
          <w:i/>
          <w:iCs/>
          <w:sz w:val="26"/>
          <w:szCs w:val="26"/>
        </w:rPr>
        <w:t>Ibid</w:t>
      </w:r>
      <w:r w:rsidR="00644674" w:rsidRPr="00BE10AE">
        <w:rPr>
          <w:rFonts w:ascii="Garamond" w:hAnsi="Garamond"/>
          <w:sz w:val="26"/>
          <w:szCs w:val="26"/>
        </w:rPr>
        <w:t xml:space="preserve">.) </w:t>
      </w:r>
      <w:r w:rsidR="004622F0" w:rsidRPr="00BE10AE">
        <w:rPr>
          <w:rFonts w:ascii="Garamond" w:hAnsi="Garamond"/>
          <w:sz w:val="26"/>
          <w:szCs w:val="26"/>
        </w:rPr>
        <w:t xml:space="preserve">But that calculation relates to the case: the evidence against the defendant and the sentences </w:t>
      </w:r>
      <w:r w:rsidR="00867806" w:rsidRPr="00BE10AE">
        <w:rPr>
          <w:rFonts w:ascii="Garamond" w:hAnsi="Garamond"/>
          <w:sz w:val="26"/>
          <w:szCs w:val="26"/>
        </w:rPr>
        <w:t xml:space="preserve">permitted by the charges. </w:t>
      </w:r>
      <w:r w:rsidR="00644674" w:rsidRPr="00BE10AE">
        <w:rPr>
          <w:rFonts w:ascii="Garamond" w:hAnsi="Garamond"/>
          <w:sz w:val="26"/>
          <w:szCs w:val="26"/>
        </w:rPr>
        <w:t>(</w:t>
      </w:r>
      <w:r w:rsidR="00644674" w:rsidRPr="00BE10AE">
        <w:rPr>
          <w:rFonts w:ascii="Garamond" w:hAnsi="Garamond"/>
          <w:i/>
          <w:iCs/>
          <w:sz w:val="26"/>
          <w:szCs w:val="26"/>
        </w:rPr>
        <w:t>Ibid</w:t>
      </w:r>
      <w:r w:rsidR="00644674" w:rsidRPr="00BE10AE">
        <w:rPr>
          <w:rFonts w:ascii="Garamond" w:hAnsi="Garamond"/>
          <w:sz w:val="26"/>
          <w:szCs w:val="26"/>
        </w:rPr>
        <w:t xml:space="preserve">.) </w:t>
      </w:r>
      <w:r w:rsidR="009A4AB3" w:rsidRPr="00BE10AE">
        <w:rPr>
          <w:rFonts w:ascii="Garamond" w:hAnsi="Garamond"/>
          <w:sz w:val="26"/>
          <w:szCs w:val="26"/>
        </w:rPr>
        <w:t xml:space="preserve">In package-deal plea bargains, </w:t>
      </w:r>
      <w:r w:rsidR="00867806" w:rsidRPr="00BE10AE">
        <w:rPr>
          <w:rFonts w:ascii="Garamond" w:hAnsi="Garamond"/>
          <w:sz w:val="26"/>
          <w:szCs w:val="26"/>
        </w:rPr>
        <w:t xml:space="preserve">on the other hand, </w:t>
      </w:r>
      <w:r w:rsidR="009A4AB3" w:rsidRPr="00BE10AE">
        <w:rPr>
          <w:rFonts w:ascii="Garamond" w:hAnsi="Garamond"/>
          <w:sz w:val="26"/>
          <w:szCs w:val="26"/>
        </w:rPr>
        <w:t>the</w:t>
      </w:r>
      <w:r w:rsidR="00BD7A26" w:rsidRPr="00BE10AE">
        <w:rPr>
          <w:rFonts w:ascii="Garamond" w:hAnsi="Garamond"/>
          <w:sz w:val="26"/>
          <w:szCs w:val="26"/>
        </w:rPr>
        <w:t xml:space="preserve"> pressure comes from </w:t>
      </w:r>
      <w:r w:rsidR="00345E47" w:rsidRPr="00BE10AE">
        <w:rPr>
          <w:rFonts w:ascii="Garamond" w:hAnsi="Garamond"/>
          <w:sz w:val="26"/>
          <w:szCs w:val="26"/>
        </w:rPr>
        <w:t>“</w:t>
      </w:r>
      <w:r w:rsidR="00BD7A26" w:rsidRPr="00BE10AE">
        <w:rPr>
          <w:rFonts w:ascii="Garamond" w:hAnsi="Garamond"/>
          <w:sz w:val="26"/>
          <w:szCs w:val="26"/>
        </w:rPr>
        <w:t>extraneous factors</w:t>
      </w:r>
      <w:r w:rsidR="00345E47" w:rsidRPr="00BE10AE">
        <w:rPr>
          <w:rFonts w:ascii="Garamond" w:hAnsi="Garamond"/>
          <w:sz w:val="26"/>
          <w:szCs w:val="26"/>
        </w:rPr>
        <w:t>”</w:t>
      </w:r>
      <w:r w:rsidR="00BD7A26" w:rsidRPr="00BE10AE">
        <w:rPr>
          <w:rFonts w:ascii="Garamond" w:hAnsi="Garamond"/>
          <w:sz w:val="26"/>
          <w:szCs w:val="26"/>
        </w:rPr>
        <w:t>: fear of a co-defendant</w:t>
      </w:r>
      <w:r w:rsidR="00867806" w:rsidRPr="00BE10AE">
        <w:rPr>
          <w:rFonts w:ascii="Garamond" w:hAnsi="Garamond"/>
          <w:sz w:val="26"/>
          <w:szCs w:val="26"/>
        </w:rPr>
        <w:t xml:space="preserve">, </w:t>
      </w:r>
      <w:r w:rsidR="00BD7A26" w:rsidRPr="00BE10AE">
        <w:rPr>
          <w:rFonts w:ascii="Garamond" w:hAnsi="Garamond"/>
          <w:sz w:val="26"/>
          <w:szCs w:val="26"/>
        </w:rPr>
        <w:t xml:space="preserve">like in </w:t>
      </w:r>
      <w:r w:rsidR="00BD7A26" w:rsidRPr="00BE10AE">
        <w:rPr>
          <w:rFonts w:ascii="Garamond" w:hAnsi="Garamond"/>
          <w:i/>
          <w:iCs/>
          <w:sz w:val="26"/>
          <w:szCs w:val="26"/>
        </w:rPr>
        <w:t>Sandoval</w:t>
      </w:r>
      <w:r w:rsidR="00867806" w:rsidRPr="00BE10AE">
        <w:rPr>
          <w:rFonts w:ascii="Garamond" w:hAnsi="Garamond"/>
          <w:sz w:val="26"/>
          <w:szCs w:val="26"/>
        </w:rPr>
        <w:t>,</w:t>
      </w:r>
      <w:r w:rsidR="00BD7A26" w:rsidRPr="00BE10AE">
        <w:rPr>
          <w:rFonts w:ascii="Garamond" w:hAnsi="Garamond"/>
          <w:sz w:val="26"/>
          <w:szCs w:val="26"/>
        </w:rPr>
        <w:t xml:space="preserve"> or </w:t>
      </w:r>
      <w:r w:rsidR="004F66C3" w:rsidRPr="00BE10AE">
        <w:rPr>
          <w:rFonts w:ascii="Garamond" w:hAnsi="Garamond"/>
          <w:sz w:val="26"/>
          <w:szCs w:val="26"/>
        </w:rPr>
        <w:t>a desire to protect a potential co-defendant</w:t>
      </w:r>
      <w:r w:rsidR="0046356B" w:rsidRPr="00BE10AE">
        <w:rPr>
          <w:rFonts w:ascii="Garamond" w:hAnsi="Garamond"/>
          <w:sz w:val="26"/>
          <w:szCs w:val="26"/>
        </w:rPr>
        <w:t xml:space="preserve">, such as a family member, from prosecution. </w:t>
      </w:r>
      <w:r w:rsidR="00721328" w:rsidRPr="00BE10AE">
        <w:rPr>
          <w:rFonts w:ascii="Garamond" w:hAnsi="Garamond"/>
          <w:sz w:val="26"/>
          <w:szCs w:val="26"/>
        </w:rPr>
        <w:t>(</w:t>
      </w:r>
      <w:r w:rsidR="00721328" w:rsidRPr="00BE10AE">
        <w:rPr>
          <w:rFonts w:ascii="Garamond" w:hAnsi="Garamond"/>
          <w:i/>
          <w:iCs/>
          <w:sz w:val="26"/>
          <w:szCs w:val="26"/>
        </w:rPr>
        <w:t>Ibid</w:t>
      </w:r>
      <w:r w:rsidR="00721328" w:rsidRPr="00BE10AE">
        <w:rPr>
          <w:rFonts w:ascii="Garamond" w:hAnsi="Garamond"/>
          <w:sz w:val="26"/>
          <w:szCs w:val="26"/>
        </w:rPr>
        <w:t xml:space="preserve">.) </w:t>
      </w:r>
      <w:r w:rsidR="00867806" w:rsidRPr="00BE10AE">
        <w:rPr>
          <w:rFonts w:ascii="Garamond" w:hAnsi="Garamond"/>
          <w:sz w:val="26"/>
          <w:szCs w:val="26"/>
        </w:rPr>
        <w:t xml:space="preserve">Because these factors do not relate to the </w:t>
      </w:r>
      <w:r w:rsidR="0069170F" w:rsidRPr="00BE10AE">
        <w:rPr>
          <w:rFonts w:ascii="Garamond" w:hAnsi="Garamond"/>
          <w:sz w:val="26"/>
          <w:szCs w:val="26"/>
        </w:rPr>
        <w:t xml:space="preserve">case against the defendant, they make the package-deal plea potentially </w:t>
      </w:r>
      <w:r w:rsidR="004D631C" w:rsidRPr="00BE10AE">
        <w:rPr>
          <w:rFonts w:ascii="Garamond" w:hAnsi="Garamond"/>
          <w:sz w:val="26"/>
          <w:szCs w:val="26"/>
        </w:rPr>
        <w:t>coercive.</w:t>
      </w:r>
      <w:r w:rsidR="00721328" w:rsidRPr="00BE10AE">
        <w:rPr>
          <w:rFonts w:ascii="Garamond" w:hAnsi="Garamond"/>
          <w:sz w:val="26"/>
          <w:szCs w:val="26"/>
        </w:rPr>
        <w:t xml:space="preserve"> (</w:t>
      </w:r>
      <w:r w:rsidR="00721328" w:rsidRPr="00BE10AE">
        <w:rPr>
          <w:rFonts w:ascii="Garamond" w:hAnsi="Garamond"/>
          <w:i/>
          <w:iCs/>
          <w:sz w:val="26"/>
          <w:szCs w:val="26"/>
        </w:rPr>
        <w:t>Ibid</w:t>
      </w:r>
      <w:r w:rsidR="00721328" w:rsidRPr="00BE10AE">
        <w:rPr>
          <w:rFonts w:ascii="Garamond" w:hAnsi="Garamond"/>
          <w:sz w:val="26"/>
          <w:szCs w:val="26"/>
        </w:rPr>
        <w:t xml:space="preserve">.) </w:t>
      </w:r>
      <w:r w:rsidR="004D631C" w:rsidRPr="00BE10AE">
        <w:rPr>
          <w:rFonts w:ascii="Garamond" w:hAnsi="Garamond"/>
          <w:sz w:val="26"/>
          <w:szCs w:val="26"/>
        </w:rPr>
        <w:t xml:space="preserve"> </w:t>
      </w:r>
      <w:r w:rsidR="005F5A7A" w:rsidRPr="00BE10AE">
        <w:rPr>
          <w:rFonts w:ascii="Garamond" w:hAnsi="Garamond"/>
          <w:sz w:val="26"/>
          <w:szCs w:val="26"/>
        </w:rPr>
        <w:t>Accordingly, courts must be careful in accepting package-deal pleas and must ensure that they are being entered into freely.</w:t>
      </w:r>
      <w:r w:rsidR="00451750" w:rsidRPr="00BE10AE">
        <w:rPr>
          <w:rFonts w:ascii="Garamond" w:hAnsi="Garamond"/>
          <w:sz w:val="26"/>
          <w:szCs w:val="26"/>
        </w:rPr>
        <w:t xml:space="preserve"> (</w:t>
      </w:r>
      <w:r w:rsidR="00451750" w:rsidRPr="00BE10AE">
        <w:rPr>
          <w:rFonts w:ascii="Garamond" w:hAnsi="Garamond"/>
          <w:i/>
          <w:iCs/>
          <w:sz w:val="26"/>
          <w:szCs w:val="26"/>
        </w:rPr>
        <w:t>Id</w:t>
      </w:r>
      <w:r w:rsidR="00451750" w:rsidRPr="00BE10AE">
        <w:rPr>
          <w:rFonts w:ascii="Garamond" w:hAnsi="Garamond"/>
          <w:sz w:val="26"/>
          <w:szCs w:val="26"/>
        </w:rPr>
        <w:t>. at pp. 287-188.)</w:t>
      </w:r>
    </w:p>
    <w:p w14:paraId="7FB09217" w14:textId="1955A629" w:rsidR="0081235F" w:rsidRPr="00BE10AE" w:rsidRDefault="00223985" w:rsidP="0081235F">
      <w:pPr>
        <w:spacing w:line="360" w:lineRule="auto"/>
        <w:ind w:firstLine="360"/>
        <w:contextualSpacing/>
        <w:rPr>
          <w:rFonts w:ascii="Garamond" w:hAnsi="Garamond"/>
          <w:sz w:val="26"/>
          <w:szCs w:val="26"/>
        </w:rPr>
      </w:pPr>
      <w:r w:rsidRPr="00BE10AE">
        <w:rPr>
          <w:rFonts w:ascii="Garamond" w:hAnsi="Garamond"/>
          <w:sz w:val="26"/>
          <w:szCs w:val="26"/>
        </w:rPr>
        <w:t xml:space="preserve">Ultimately, the </w:t>
      </w:r>
      <w:r w:rsidR="005F5A7A" w:rsidRPr="00BE10AE">
        <w:rPr>
          <w:rFonts w:ascii="Garamond" w:hAnsi="Garamond"/>
          <w:i/>
          <w:iCs/>
          <w:sz w:val="26"/>
          <w:szCs w:val="26"/>
        </w:rPr>
        <w:t>Ibarra</w:t>
      </w:r>
      <w:r w:rsidR="005F5A7A" w:rsidRPr="00BE10AE">
        <w:rPr>
          <w:rFonts w:ascii="Garamond" w:hAnsi="Garamond"/>
          <w:sz w:val="26"/>
          <w:szCs w:val="26"/>
        </w:rPr>
        <w:t xml:space="preserve"> </w:t>
      </w:r>
      <w:r w:rsidRPr="00BE10AE">
        <w:rPr>
          <w:rFonts w:ascii="Garamond" w:hAnsi="Garamond"/>
          <w:sz w:val="26"/>
          <w:szCs w:val="26"/>
        </w:rPr>
        <w:t xml:space="preserve">Court found that Ibarra had not pleaded sufficient facts and denied the petition, </w:t>
      </w:r>
      <w:r w:rsidR="006375ED" w:rsidRPr="00BE10AE">
        <w:rPr>
          <w:rFonts w:ascii="Garamond" w:hAnsi="Garamond"/>
          <w:sz w:val="26"/>
          <w:szCs w:val="26"/>
        </w:rPr>
        <w:t>though</w:t>
      </w:r>
      <w:r w:rsidRPr="00BE10AE">
        <w:rPr>
          <w:rFonts w:ascii="Garamond" w:hAnsi="Garamond"/>
          <w:sz w:val="26"/>
          <w:szCs w:val="26"/>
        </w:rPr>
        <w:t xml:space="preserve"> it did so without prejudice to him filing another. </w:t>
      </w:r>
      <w:r w:rsidR="00451750" w:rsidRPr="00BE10AE">
        <w:rPr>
          <w:rFonts w:ascii="Garamond" w:hAnsi="Garamond"/>
          <w:sz w:val="26"/>
          <w:szCs w:val="26"/>
        </w:rPr>
        <w:t>(</w:t>
      </w:r>
      <w:r w:rsidR="00451750" w:rsidRPr="00BE10AE">
        <w:rPr>
          <w:rFonts w:ascii="Garamond" w:hAnsi="Garamond"/>
          <w:i/>
          <w:iCs/>
          <w:sz w:val="26"/>
          <w:szCs w:val="26"/>
        </w:rPr>
        <w:t>Ibarra</w:t>
      </w:r>
      <w:r w:rsidR="00451750" w:rsidRPr="00BE10AE">
        <w:rPr>
          <w:rFonts w:ascii="Garamond" w:hAnsi="Garamond"/>
          <w:sz w:val="26"/>
          <w:szCs w:val="26"/>
        </w:rPr>
        <w:t xml:space="preserve">, </w:t>
      </w:r>
      <w:r w:rsidR="00451750" w:rsidRPr="00BE10AE">
        <w:rPr>
          <w:rFonts w:ascii="Garamond" w:hAnsi="Garamond"/>
          <w:i/>
          <w:iCs/>
          <w:sz w:val="26"/>
          <w:szCs w:val="26"/>
        </w:rPr>
        <w:t>supra</w:t>
      </w:r>
      <w:r w:rsidR="00451750" w:rsidRPr="00BE10AE">
        <w:rPr>
          <w:rFonts w:ascii="Garamond" w:hAnsi="Garamond"/>
          <w:sz w:val="26"/>
          <w:szCs w:val="26"/>
        </w:rPr>
        <w:t xml:space="preserve">, 34 Cal.3d at p. 283.) </w:t>
      </w:r>
      <w:r w:rsidR="00252F1E" w:rsidRPr="00BE10AE">
        <w:rPr>
          <w:rFonts w:ascii="Garamond" w:hAnsi="Garamond"/>
          <w:sz w:val="26"/>
          <w:szCs w:val="26"/>
        </w:rPr>
        <w:t xml:space="preserve">Still, </w:t>
      </w:r>
      <w:r w:rsidR="00252F1E" w:rsidRPr="00BE10AE">
        <w:rPr>
          <w:rFonts w:ascii="Garamond" w:hAnsi="Garamond"/>
          <w:i/>
          <w:iCs/>
          <w:sz w:val="26"/>
          <w:szCs w:val="26"/>
        </w:rPr>
        <w:t>Ibarra</w:t>
      </w:r>
      <w:r w:rsidR="00252F1E" w:rsidRPr="00BE10AE">
        <w:rPr>
          <w:rFonts w:ascii="Garamond" w:hAnsi="Garamond"/>
          <w:sz w:val="26"/>
          <w:szCs w:val="26"/>
        </w:rPr>
        <w:t xml:space="preserve"> shows that </w:t>
      </w:r>
      <w:r w:rsidR="00D426F0" w:rsidRPr="00BE10AE">
        <w:rPr>
          <w:rFonts w:ascii="Garamond" w:hAnsi="Garamond"/>
          <w:sz w:val="26"/>
          <w:szCs w:val="26"/>
        </w:rPr>
        <w:t xml:space="preserve">you can still raise these issues in a habeas (provided, of course, that the facts bear out the claim). </w:t>
      </w:r>
    </w:p>
    <w:p w14:paraId="07C3976B" w14:textId="7C7F1A42" w:rsidR="00703E21" w:rsidRPr="00BE10AE" w:rsidRDefault="00BE10AE" w:rsidP="0081235F">
      <w:pPr>
        <w:pStyle w:val="ListParagraph"/>
        <w:numPr>
          <w:ilvl w:val="1"/>
          <w:numId w:val="2"/>
        </w:numPr>
        <w:spacing w:line="360" w:lineRule="auto"/>
        <w:rPr>
          <w:rFonts w:ascii="Garamond" w:hAnsi="Garamond"/>
          <w:b/>
          <w:bCs/>
          <w:sz w:val="26"/>
          <w:szCs w:val="26"/>
        </w:rPr>
      </w:pPr>
      <w:r w:rsidRPr="00BE10AE">
        <w:rPr>
          <w:rFonts w:ascii="Garamond" w:hAnsi="Garamond"/>
          <w:b/>
          <w:bCs/>
          <w:sz w:val="26"/>
          <w:szCs w:val="26"/>
        </w:rPr>
        <w:t>But w</w:t>
      </w:r>
      <w:r w:rsidR="002D4ECD" w:rsidRPr="00BE10AE">
        <w:rPr>
          <w:rFonts w:ascii="Garamond" w:hAnsi="Garamond"/>
          <w:b/>
          <w:bCs/>
          <w:sz w:val="26"/>
          <w:szCs w:val="26"/>
        </w:rPr>
        <w:t>hat if the judge made your client a good offer</w:t>
      </w:r>
      <w:r w:rsidR="00703E21" w:rsidRPr="00BE10AE">
        <w:rPr>
          <w:rFonts w:ascii="Garamond" w:hAnsi="Garamond"/>
          <w:b/>
          <w:bCs/>
          <w:sz w:val="26"/>
          <w:szCs w:val="26"/>
        </w:rPr>
        <w:t>?</w:t>
      </w:r>
    </w:p>
    <w:p w14:paraId="6B65573F" w14:textId="5A22913B" w:rsidR="00703E21" w:rsidRPr="00BE10AE" w:rsidRDefault="002D4ECD" w:rsidP="00194F62">
      <w:pPr>
        <w:spacing w:line="360" w:lineRule="auto"/>
        <w:ind w:firstLine="360"/>
        <w:contextualSpacing/>
        <w:rPr>
          <w:rFonts w:ascii="Garamond" w:hAnsi="Garamond"/>
          <w:sz w:val="26"/>
          <w:szCs w:val="26"/>
        </w:rPr>
      </w:pPr>
      <w:r w:rsidRPr="00BE10AE">
        <w:rPr>
          <w:rFonts w:ascii="Garamond" w:hAnsi="Garamond"/>
          <w:sz w:val="26"/>
          <w:szCs w:val="26"/>
        </w:rPr>
        <w:t xml:space="preserve">Unfortunately, </w:t>
      </w:r>
      <w:r w:rsidR="00535A9E" w:rsidRPr="00BE10AE">
        <w:rPr>
          <w:rFonts w:ascii="Garamond" w:hAnsi="Garamond"/>
          <w:sz w:val="26"/>
          <w:szCs w:val="26"/>
        </w:rPr>
        <w:t>judges can</w:t>
      </w:r>
      <w:r w:rsidR="00345E47" w:rsidRPr="00BE10AE">
        <w:rPr>
          <w:rFonts w:ascii="Garamond" w:hAnsi="Garamond"/>
          <w:sz w:val="26"/>
          <w:szCs w:val="26"/>
        </w:rPr>
        <w:t>’</w:t>
      </w:r>
      <w:r w:rsidR="00535A9E" w:rsidRPr="00BE10AE">
        <w:rPr>
          <w:rFonts w:ascii="Garamond" w:hAnsi="Garamond"/>
          <w:sz w:val="26"/>
          <w:szCs w:val="26"/>
        </w:rPr>
        <w:t xml:space="preserve">t make plea offers. </w:t>
      </w:r>
      <w:r w:rsidR="009F4948" w:rsidRPr="00BE10AE">
        <w:rPr>
          <w:rFonts w:ascii="Garamond" w:hAnsi="Garamond"/>
          <w:sz w:val="26"/>
          <w:szCs w:val="26"/>
        </w:rPr>
        <w:t>While j</w:t>
      </w:r>
      <w:r w:rsidR="0006174B" w:rsidRPr="00BE10AE">
        <w:rPr>
          <w:rFonts w:ascii="Garamond" w:hAnsi="Garamond"/>
          <w:sz w:val="26"/>
          <w:szCs w:val="26"/>
        </w:rPr>
        <w:t xml:space="preserve">udges </w:t>
      </w:r>
      <w:r w:rsidR="00535A9E" w:rsidRPr="00BE10AE">
        <w:rPr>
          <w:rFonts w:ascii="Garamond" w:hAnsi="Garamond"/>
          <w:sz w:val="26"/>
          <w:szCs w:val="26"/>
        </w:rPr>
        <w:t>may</w:t>
      </w:r>
      <w:r w:rsidR="0006174B" w:rsidRPr="00BE10AE">
        <w:rPr>
          <w:rFonts w:ascii="Garamond" w:hAnsi="Garamond"/>
          <w:sz w:val="26"/>
          <w:szCs w:val="26"/>
        </w:rPr>
        <w:t xml:space="preserve"> take some </w:t>
      </w:r>
      <w:r w:rsidR="00535A9E" w:rsidRPr="00BE10AE">
        <w:rPr>
          <w:rFonts w:ascii="Garamond" w:hAnsi="Garamond"/>
          <w:sz w:val="26"/>
          <w:szCs w:val="26"/>
        </w:rPr>
        <w:t>part</w:t>
      </w:r>
      <w:r w:rsidR="0006174B" w:rsidRPr="00BE10AE">
        <w:rPr>
          <w:rFonts w:ascii="Garamond" w:hAnsi="Garamond"/>
          <w:sz w:val="26"/>
          <w:szCs w:val="26"/>
        </w:rPr>
        <w:t xml:space="preserve"> in </w:t>
      </w:r>
      <w:r w:rsidR="00935B5C" w:rsidRPr="00BE10AE">
        <w:rPr>
          <w:rFonts w:ascii="Garamond" w:hAnsi="Garamond"/>
          <w:sz w:val="26"/>
          <w:szCs w:val="26"/>
        </w:rPr>
        <w:t xml:space="preserve">the plea process, there are limits. Those limits were delineated in </w:t>
      </w:r>
      <w:r w:rsidR="00935B5C" w:rsidRPr="00BE10AE">
        <w:rPr>
          <w:rFonts w:ascii="Garamond" w:hAnsi="Garamond"/>
          <w:i/>
          <w:iCs/>
          <w:sz w:val="26"/>
          <w:szCs w:val="26"/>
        </w:rPr>
        <w:t>People v. Clancey</w:t>
      </w:r>
      <w:r w:rsidR="00935B5C" w:rsidRPr="00BE10AE">
        <w:rPr>
          <w:rFonts w:ascii="Garamond" w:hAnsi="Garamond"/>
          <w:sz w:val="26"/>
          <w:szCs w:val="26"/>
        </w:rPr>
        <w:t xml:space="preserve"> (2013) </w:t>
      </w:r>
      <w:r w:rsidR="00FE2230" w:rsidRPr="00BE10AE">
        <w:rPr>
          <w:rFonts w:ascii="Garamond" w:hAnsi="Garamond"/>
          <w:sz w:val="26"/>
          <w:szCs w:val="26"/>
        </w:rPr>
        <w:t xml:space="preserve">56 Cal.4th 562. There, the trial court told Clancey that </w:t>
      </w:r>
      <w:r w:rsidR="00C3536B" w:rsidRPr="00BE10AE">
        <w:rPr>
          <w:rFonts w:ascii="Garamond" w:hAnsi="Garamond"/>
          <w:sz w:val="26"/>
          <w:szCs w:val="26"/>
        </w:rPr>
        <w:t xml:space="preserve">if he pleaded </w:t>
      </w:r>
      <w:r w:rsidR="00522B14" w:rsidRPr="00BE10AE">
        <w:rPr>
          <w:rFonts w:ascii="Garamond" w:hAnsi="Garamond"/>
          <w:sz w:val="26"/>
          <w:szCs w:val="26"/>
        </w:rPr>
        <w:t>guilty as charged</w:t>
      </w:r>
      <w:r w:rsidR="00C3536B" w:rsidRPr="00BE10AE">
        <w:rPr>
          <w:rFonts w:ascii="Garamond" w:hAnsi="Garamond"/>
          <w:sz w:val="26"/>
          <w:szCs w:val="26"/>
        </w:rPr>
        <w:t xml:space="preserve">, the court would strike an out-on-bail enhancement, grant </w:t>
      </w:r>
      <w:r w:rsidR="008C1A13" w:rsidRPr="00BE10AE">
        <w:rPr>
          <w:rFonts w:ascii="Garamond" w:hAnsi="Garamond"/>
          <w:sz w:val="26"/>
          <w:szCs w:val="26"/>
        </w:rPr>
        <w:t>Clancey</w:t>
      </w:r>
      <w:r w:rsidR="00345E47" w:rsidRPr="00BE10AE">
        <w:rPr>
          <w:rFonts w:ascii="Garamond" w:hAnsi="Garamond"/>
          <w:sz w:val="26"/>
          <w:szCs w:val="26"/>
        </w:rPr>
        <w:t>’</w:t>
      </w:r>
      <w:r w:rsidR="008C1A13" w:rsidRPr="00BE10AE">
        <w:rPr>
          <w:rFonts w:ascii="Garamond" w:hAnsi="Garamond"/>
          <w:sz w:val="26"/>
          <w:szCs w:val="26"/>
        </w:rPr>
        <w:t>s</w:t>
      </w:r>
      <w:r w:rsidR="00C3536B" w:rsidRPr="00BE10AE">
        <w:rPr>
          <w:rFonts w:ascii="Garamond" w:hAnsi="Garamond"/>
          <w:sz w:val="26"/>
          <w:szCs w:val="26"/>
        </w:rPr>
        <w:t xml:space="preserve"> </w:t>
      </w:r>
      <w:r w:rsidR="00C3536B" w:rsidRPr="00BE10AE">
        <w:rPr>
          <w:rFonts w:ascii="Garamond" w:hAnsi="Garamond"/>
          <w:i/>
          <w:iCs/>
          <w:sz w:val="26"/>
          <w:szCs w:val="26"/>
        </w:rPr>
        <w:t>Romero</w:t>
      </w:r>
      <w:r w:rsidR="00C3536B" w:rsidRPr="00BE10AE">
        <w:rPr>
          <w:rFonts w:ascii="Garamond" w:hAnsi="Garamond"/>
          <w:sz w:val="26"/>
          <w:szCs w:val="26"/>
        </w:rPr>
        <w:t xml:space="preserve"> motion, and sentence him to five years</w:t>
      </w:r>
      <w:r w:rsidR="00163C12" w:rsidRPr="00BE10AE">
        <w:rPr>
          <w:rFonts w:ascii="Garamond" w:hAnsi="Garamond"/>
          <w:sz w:val="26"/>
          <w:szCs w:val="26"/>
        </w:rPr>
        <w:t xml:space="preserve"> in prison</w:t>
      </w:r>
      <w:r w:rsidR="00C3536B" w:rsidRPr="00BE10AE">
        <w:rPr>
          <w:rFonts w:ascii="Garamond" w:hAnsi="Garamond"/>
          <w:sz w:val="26"/>
          <w:szCs w:val="26"/>
        </w:rPr>
        <w:t xml:space="preserve">. </w:t>
      </w:r>
      <w:r w:rsidR="003C3A6B" w:rsidRPr="00BE10AE">
        <w:rPr>
          <w:rFonts w:ascii="Garamond" w:hAnsi="Garamond"/>
          <w:sz w:val="26"/>
          <w:szCs w:val="26"/>
        </w:rPr>
        <w:t>(</w:t>
      </w:r>
      <w:r w:rsidR="003C3A6B" w:rsidRPr="00BE10AE">
        <w:rPr>
          <w:rFonts w:ascii="Garamond" w:hAnsi="Garamond"/>
          <w:i/>
          <w:iCs/>
          <w:sz w:val="26"/>
          <w:szCs w:val="26"/>
        </w:rPr>
        <w:t>Id</w:t>
      </w:r>
      <w:r w:rsidR="003C3A6B" w:rsidRPr="00BE10AE">
        <w:rPr>
          <w:rFonts w:ascii="Garamond" w:hAnsi="Garamond"/>
          <w:sz w:val="26"/>
          <w:szCs w:val="26"/>
        </w:rPr>
        <w:t xml:space="preserve">. at pp. 570-571.) </w:t>
      </w:r>
      <w:r w:rsidR="002E1EB8" w:rsidRPr="00BE10AE">
        <w:rPr>
          <w:rFonts w:ascii="Garamond" w:hAnsi="Garamond"/>
          <w:sz w:val="26"/>
          <w:szCs w:val="26"/>
        </w:rPr>
        <w:t xml:space="preserve">Given that the maximum was </w:t>
      </w:r>
      <w:r w:rsidR="00A36357" w:rsidRPr="00BE10AE">
        <w:rPr>
          <w:rFonts w:ascii="Garamond" w:hAnsi="Garamond"/>
          <w:sz w:val="26"/>
          <w:szCs w:val="26"/>
        </w:rPr>
        <w:t>almost</w:t>
      </w:r>
      <w:r w:rsidR="002E1EB8" w:rsidRPr="00BE10AE">
        <w:rPr>
          <w:rFonts w:ascii="Garamond" w:hAnsi="Garamond"/>
          <w:sz w:val="26"/>
          <w:szCs w:val="26"/>
        </w:rPr>
        <w:t xml:space="preserve"> 16 years, Clancey jumped on it</w:t>
      </w:r>
      <w:r w:rsidR="00522B14" w:rsidRPr="00BE10AE">
        <w:rPr>
          <w:rFonts w:ascii="Garamond" w:hAnsi="Garamond"/>
          <w:sz w:val="26"/>
          <w:szCs w:val="26"/>
        </w:rPr>
        <w:t xml:space="preserve"> and accepted the offer over the prosecution</w:t>
      </w:r>
      <w:r w:rsidR="00345E47" w:rsidRPr="00BE10AE">
        <w:rPr>
          <w:rFonts w:ascii="Garamond" w:hAnsi="Garamond"/>
          <w:sz w:val="26"/>
          <w:szCs w:val="26"/>
        </w:rPr>
        <w:t>’</w:t>
      </w:r>
      <w:r w:rsidR="00522B14" w:rsidRPr="00BE10AE">
        <w:rPr>
          <w:rFonts w:ascii="Garamond" w:hAnsi="Garamond"/>
          <w:sz w:val="26"/>
          <w:szCs w:val="26"/>
        </w:rPr>
        <w:t>s objection.</w:t>
      </w:r>
      <w:r w:rsidR="002E1EB8" w:rsidRPr="00BE10AE">
        <w:rPr>
          <w:rFonts w:ascii="Garamond" w:hAnsi="Garamond"/>
          <w:sz w:val="26"/>
          <w:szCs w:val="26"/>
        </w:rPr>
        <w:t xml:space="preserve"> </w:t>
      </w:r>
      <w:r w:rsidR="003C3A6B" w:rsidRPr="00BE10AE">
        <w:rPr>
          <w:rFonts w:ascii="Garamond" w:hAnsi="Garamond"/>
          <w:sz w:val="26"/>
          <w:szCs w:val="26"/>
        </w:rPr>
        <w:t>(</w:t>
      </w:r>
      <w:r w:rsidR="003C3A6B" w:rsidRPr="00BE10AE">
        <w:rPr>
          <w:rFonts w:ascii="Garamond" w:hAnsi="Garamond"/>
          <w:i/>
          <w:iCs/>
          <w:sz w:val="26"/>
          <w:szCs w:val="26"/>
        </w:rPr>
        <w:t>Ibid</w:t>
      </w:r>
      <w:r w:rsidR="003C3A6B" w:rsidRPr="00BE10AE">
        <w:rPr>
          <w:rFonts w:ascii="Garamond" w:hAnsi="Garamond"/>
          <w:sz w:val="26"/>
          <w:szCs w:val="26"/>
        </w:rPr>
        <w:t xml:space="preserve">.) </w:t>
      </w:r>
      <w:r w:rsidR="002E1EB8" w:rsidRPr="00BE10AE">
        <w:rPr>
          <w:rFonts w:ascii="Garamond" w:hAnsi="Garamond"/>
          <w:sz w:val="26"/>
          <w:szCs w:val="26"/>
        </w:rPr>
        <w:t xml:space="preserve">The prosecution appealed. </w:t>
      </w:r>
      <w:r w:rsidR="003C3A6B" w:rsidRPr="00BE10AE">
        <w:rPr>
          <w:rFonts w:ascii="Garamond" w:hAnsi="Garamond"/>
          <w:sz w:val="26"/>
          <w:szCs w:val="26"/>
        </w:rPr>
        <w:t>(</w:t>
      </w:r>
      <w:r w:rsidR="00A870AB" w:rsidRPr="00BE10AE">
        <w:rPr>
          <w:rFonts w:ascii="Garamond" w:hAnsi="Garamond"/>
          <w:i/>
          <w:iCs/>
          <w:sz w:val="26"/>
          <w:szCs w:val="26"/>
        </w:rPr>
        <w:t>Id</w:t>
      </w:r>
      <w:r w:rsidR="00A870AB" w:rsidRPr="00BE10AE">
        <w:rPr>
          <w:rFonts w:ascii="Garamond" w:hAnsi="Garamond"/>
          <w:sz w:val="26"/>
          <w:szCs w:val="26"/>
        </w:rPr>
        <w:t xml:space="preserve">. at p. </w:t>
      </w:r>
      <w:r w:rsidR="00F8554C" w:rsidRPr="00BE10AE">
        <w:rPr>
          <w:rFonts w:ascii="Garamond" w:hAnsi="Garamond"/>
          <w:sz w:val="26"/>
          <w:szCs w:val="26"/>
        </w:rPr>
        <w:t>569</w:t>
      </w:r>
      <w:r w:rsidR="003C3A6B" w:rsidRPr="00BE10AE">
        <w:rPr>
          <w:rFonts w:ascii="Garamond" w:hAnsi="Garamond"/>
          <w:sz w:val="26"/>
          <w:szCs w:val="26"/>
        </w:rPr>
        <w:t>.)</w:t>
      </w:r>
    </w:p>
    <w:p w14:paraId="3E847088" w14:textId="7F383FD9" w:rsidR="004476B9" w:rsidRPr="00BE10AE" w:rsidRDefault="002E1EB8" w:rsidP="003D3BE9">
      <w:pPr>
        <w:spacing w:line="360" w:lineRule="auto"/>
        <w:ind w:firstLine="360"/>
        <w:contextualSpacing/>
        <w:rPr>
          <w:rFonts w:ascii="Garamond" w:hAnsi="Garamond"/>
          <w:sz w:val="26"/>
          <w:szCs w:val="26"/>
        </w:rPr>
      </w:pPr>
      <w:r w:rsidRPr="00BE10AE">
        <w:rPr>
          <w:rFonts w:ascii="Garamond" w:hAnsi="Garamond"/>
          <w:sz w:val="26"/>
          <w:szCs w:val="26"/>
        </w:rPr>
        <w:t xml:space="preserve">When the case reached the Supreme Court, the court said </w:t>
      </w:r>
      <w:r w:rsidR="00522B14" w:rsidRPr="00BE10AE">
        <w:rPr>
          <w:rFonts w:ascii="Garamond" w:hAnsi="Garamond"/>
          <w:sz w:val="26"/>
          <w:szCs w:val="26"/>
        </w:rPr>
        <w:t xml:space="preserve">that </w:t>
      </w:r>
      <w:r w:rsidR="00D7591F" w:rsidRPr="00BE10AE">
        <w:rPr>
          <w:rFonts w:ascii="Garamond" w:hAnsi="Garamond"/>
          <w:sz w:val="26"/>
          <w:szCs w:val="26"/>
        </w:rPr>
        <w:t xml:space="preserve">it could not rule: The record was unclear on whether the trial judge had offered the defendant an unlawful inducement to plead or </w:t>
      </w:r>
      <w:r w:rsidR="00E650C9" w:rsidRPr="00BE10AE">
        <w:rPr>
          <w:rFonts w:ascii="Garamond" w:hAnsi="Garamond"/>
          <w:sz w:val="26"/>
          <w:szCs w:val="26"/>
        </w:rPr>
        <w:t>had</w:t>
      </w:r>
      <w:r w:rsidR="008F01EB" w:rsidRPr="00BE10AE">
        <w:rPr>
          <w:rFonts w:ascii="Garamond" w:hAnsi="Garamond"/>
          <w:sz w:val="26"/>
          <w:szCs w:val="26"/>
        </w:rPr>
        <w:t xml:space="preserve"> simply given a lawful indicated sentence. </w:t>
      </w:r>
      <w:r w:rsidR="00975E5F" w:rsidRPr="00BE10AE">
        <w:rPr>
          <w:rFonts w:ascii="Garamond" w:hAnsi="Garamond"/>
          <w:sz w:val="26"/>
          <w:szCs w:val="26"/>
        </w:rPr>
        <w:t>(</w:t>
      </w:r>
      <w:r w:rsidR="00975E5F" w:rsidRPr="00BE10AE">
        <w:rPr>
          <w:rFonts w:ascii="Garamond" w:hAnsi="Garamond"/>
          <w:i/>
          <w:iCs/>
          <w:sz w:val="26"/>
          <w:szCs w:val="26"/>
        </w:rPr>
        <w:t>Clancey</w:t>
      </w:r>
      <w:r w:rsidR="00975E5F" w:rsidRPr="00BE10AE">
        <w:rPr>
          <w:rFonts w:ascii="Garamond" w:hAnsi="Garamond"/>
          <w:sz w:val="26"/>
          <w:szCs w:val="26"/>
        </w:rPr>
        <w:t xml:space="preserve">, </w:t>
      </w:r>
      <w:r w:rsidR="00975E5F" w:rsidRPr="00BE10AE">
        <w:rPr>
          <w:rFonts w:ascii="Garamond" w:hAnsi="Garamond"/>
          <w:i/>
          <w:iCs/>
          <w:sz w:val="26"/>
          <w:szCs w:val="26"/>
        </w:rPr>
        <w:t>supra</w:t>
      </w:r>
      <w:r w:rsidR="00975E5F" w:rsidRPr="00BE10AE">
        <w:rPr>
          <w:rFonts w:ascii="Garamond" w:hAnsi="Garamond"/>
          <w:sz w:val="26"/>
          <w:szCs w:val="26"/>
        </w:rPr>
        <w:t xml:space="preserve">, 56 Cal.4th at p. 568.) </w:t>
      </w:r>
      <w:r w:rsidR="008F01EB" w:rsidRPr="00BE10AE">
        <w:rPr>
          <w:rFonts w:ascii="Garamond" w:hAnsi="Garamond"/>
          <w:sz w:val="26"/>
          <w:szCs w:val="26"/>
        </w:rPr>
        <w:t xml:space="preserve">In </w:t>
      </w:r>
      <w:r w:rsidR="00E650C9" w:rsidRPr="00BE10AE">
        <w:rPr>
          <w:rFonts w:ascii="Garamond" w:hAnsi="Garamond"/>
          <w:sz w:val="26"/>
          <w:szCs w:val="26"/>
        </w:rPr>
        <w:t>deferring</w:t>
      </w:r>
      <w:r w:rsidR="008F01EB" w:rsidRPr="00BE10AE">
        <w:rPr>
          <w:rFonts w:ascii="Garamond" w:hAnsi="Garamond"/>
          <w:sz w:val="26"/>
          <w:szCs w:val="26"/>
        </w:rPr>
        <w:t>, however, the court specified</w:t>
      </w:r>
      <w:r w:rsidR="006365F9" w:rsidRPr="00BE10AE">
        <w:rPr>
          <w:rFonts w:ascii="Garamond" w:hAnsi="Garamond"/>
          <w:sz w:val="26"/>
          <w:szCs w:val="26"/>
        </w:rPr>
        <w:t xml:space="preserve"> when and how a court may </w:t>
      </w:r>
      <w:r w:rsidR="00403BE1">
        <w:rPr>
          <w:rFonts w:ascii="Garamond" w:hAnsi="Garamond"/>
          <w:sz w:val="26"/>
          <w:szCs w:val="26"/>
        </w:rPr>
        <w:t xml:space="preserve">properly </w:t>
      </w:r>
      <w:r w:rsidR="006365F9" w:rsidRPr="00BE10AE">
        <w:rPr>
          <w:rFonts w:ascii="Garamond" w:hAnsi="Garamond"/>
          <w:sz w:val="26"/>
          <w:szCs w:val="26"/>
        </w:rPr>
        <w:t xml:space="preserve">indicate a sentence. First, the court should avoid indicating a sentence while the prosecution and defense are still negotiating. </w:t>
      </w:r>
      <w:r w:rsidR="00971E1F" w:rsidRPr="00BE10AE">
        <w:rPr>
          <w:rFonts w:ascii="Garamond" w:hAnsi="Garamond"/>
          <w:sz w:val="26"/>
          <w:szCs w:val="26"/>
        </w:rPr>
        <w:t>(</w:t>
      </w:r>
      <w:r w:rsidR="00971E1F" w:rsidRPr="00BE10AE">
        <w:rPr>
          <w:rFonts w:ascii="Garamond" w:hAnsi="Garamond"/>
          <w:i/>
          <w:iCs/>
          <w:sz w:val="26"/>
          <w:szCs w:val="26"/>
        </w:rPr>
        <w:t>Id</w:t>
      </w:r>
      <w:r w:rsidR="00971E1F" w:rsidRPr="00BE10AE">
        <w:rPr>
          <w:rFonts w:ascii="Garamond" w:hAnsi="Garamond"/>
          <w:sz w:val="26"/>
          <w:szCs w:val="26"/>
        </w:rPr>
        <w:t xml:space="preserve">. at p. 575.) </w:t>
      </w:r>
      <w:r w:rsidR="007E6B3A" w:rsidRPr="00BE10AE">
        <w:rPr>
          <w:rFonts w:ascii="Garamond" w:hAnsi="Garamond"/>
          <w:sz w:val="26"/>
          <w:szCs w:val="26"/>
        </w:rPr>
        <w:t xml:space="preserve">Negotiation between the parties </w:t>
      </w:r>
      <w:r w:rsidR="006365F9" w:rsidRPr="00BE10AE">
        <w:rPr>
          <w:rFonts w:ascii="Garamond" w:hAnsi="Garamond"/>
          <w:sz w:val="26"/>
          <w:szCs w:val="26"/>
        </w:rPr>
        <w:t>is a routine part of</w:t>
      </w:r>
      <w:r w:rsidR="00543B3C" w:rsidRPr="00BE10AE">
        <w:rPr>
          <w:rFonts w:ascii="Garamond" w:hAnsi="Garamond"/>
          <w:sz w:val="26"/>
          <w:szCs w:val="26"/>
        </w:rPr>
        <w:t xml:space="preserve"> criminal trial practice, and the court should let the parties see </w:t>
      </w:r>
      <w:r w:rsidR="00BE10AE" w:rsidRPr="00BE10AE">
        <w:rPr>
          <w:rFonts w:ascii="Garamond" w:hAnsi="Garamond"/>
          <w:sz w:val="26"/>
          <w:szCs w:val="26"/>
        </w:rPr>
        <w:t>that</w:t>
      </w:r>
      <w:r w:rsidR="00543B3C" w:rsidRPr="00BE10AE">
        <w:rPr>
          <w:rFonts w:ascii="Garamond" w:hAnsi="Garamond"/>
          <w:sz w:val="26"/>
          <w:szCs w:val="26"/>
        </w:rPr>
        <w:t xml:space="preserve"> process through. </w:t>
      </w:r>
      <w:r w:rsidR="00971E1F" w:rsidRPr="00BE10AE">
        <w:rPr>
          <w:rFonts w:ascii="Garamond" w:hAnsi="Garamond"/>
          <w:sz w:val="26"/>
          <w:szCs w:val="26"/>
        </w:rPr>
        <w:t>(</w:t>
      </w:r>
      <w:r w:rsidR="00971E1F" w:rsidRPr="00BE10AE">
        <w:rPr>
          <w:rFonts w:ascii="Garamond" w:hAnsi="Garamond"/>
          <w:i/>
          <w:iCs/>
          <w:sz w:val="26"/>
          <w:szCs w:val="26"/>
        </w:rPr>
        <w:t>Ibid</w:t>
      </w:r>
      <w:r w:rsidR="00971E1F" w:rsidRPr="00BE10AE">
        <w:rPr>
          <w:rFonts w:ascii="Garamond" w:hAnsi="Garamond"/>
          <w:sz w:val="26"/>
          <w:szCs w:val="26"/>
        </w:rPr>
        <w:t xml:space="preserve">.) </w:t>
      </w:r>
      <w:r w:rsidR="00543B3C" w:rsidRPr="00BE10AE">
        <w:rPr>
          <w:rFonts w:ascii="Garamond" w:hAnsi="Garamond"/>
          <w:sz w:val="26"/>
          <w:szCs w:val="26"/>
        </w:rPr>
        <w:t xml:space="preserve">Second, the court should make sure the record </w:t>
      </w:r>
      <w:r w:rsidR="00886D53" w:rsidRPr="00BE10AE">
        <w:rPr>
          <w:rFonts w:ascii="Garamond" w:hAnsi="Garamond"/>
          <w:sz w:val="26"/>
          <w:szCs w:val="26"/>
        </w:rPr>
        <w:t xml:space="preserve">contains enough information to </w:t>
      </w:r>
      <w:r w:rsidR="002510B1" w:rsidRPr="00BE10AE">
        <w:rPr>
          <w:rFonts w:ascii="Garamond" w:hAnsi="Garamond"/>
          <w:sz w:val="26"/>
          <w:szCs w:val="26"/>
        </w:rPr>
        <w:t xml:space="preserve">assess the proper sentence. </w:t>
      </w:r>
      <w:r w:rsidR="00971E1F" w:rsidRPr="00BE10AE">
        <w:rPr>
          <w:rFonts w:ascii="Garamond" w:hAnsi="Garamond"/>
          <w:sz w:val="26"/>
          <w:szCs w:val="26"/>
        </w:rPr>
        <w:t>(</w:t>
      </w:r>
      <w:r w:rsidR="00971E1F" w:rsidRPr="00BE10AE">
        <w:rPr>
          <w:rFonts w:ascii="Garamond" w:hAnsi="Garamond"/>
          <w:i/>
          <w:iCs/>
          <w:sz w:val="26"/>
          <w:szCs w:val="26"/>
        </w:rPr>
        <w:t>Ibid</w:t>
      </w:r>
      <w:r w:rsidR="00971E1F" w:rsidRPr="00BE10AE">
        <w:rPr>
          <w:rFonts w:ascii="Garamond" w:hAnsi="Garamond"/>
          <w:sz w:val="26"/>
          <w:szCs w:val="26"/>
        </w:rPr>
        <w:t xml:space="preserve">.) </w:t>
      </w:r>
      <w:r w:rsidR="003D30F5" w:rsidRPr="00BE10AE">
        <w:rPr>
          <w:rFonts w:ascii="Garamond" w:hAnsi="Garamond"/>
          <w:sz w:val="26"/>
          <w:szCs w:val="26"/>
        </w:rPr>
        <w:t xml:space="preserve">Third, the court may not induce the defendant to plead guilty; that is, it may not treat a defendant more leniently for having taken a plea. </w:t>
      </w:r>
      <w:r w:rsidR="00971E1F" w:rsidRPr="00BE10AE">
        <w:rPr>
          <w:rFonts w:ascii="Garamond" w:hAnsi="Garamond"/>
          <w:sz w:val="26"/>
          <w:szCs w:val="26"/>
        </w:rPr>
        <w:t>(</w:t>
      </w:r>
      <w:r w:rsidR="00971E1F" w:rsidRPr="00BE10AE">
        <w:rPr>
          <w:rFonts w:ascii="Garamond" w:hAnsi="Garamond"/>
          <w:i/>
          <w:iCs/>
          <w:sz w:val="26"/>
          <w:szCs w:val="26"/>
        </w:rPr>
        <w:t>Ibid</w:t>
      </w:r>
      <w:r w:rsidR="00971E1F" w:rsidRPr="00BE10AE">
        <w:rPr>
          <w:rFonts w:ascii="Garamond" w:hAnsi="Garamond"/>
          <w:sz w:val="26"/>
          <w:szCs w:val="26"/>
        </w:rPr>
        <w:t xml:space="preserve">.) </w:t>
      </w:r>
      <w:r w:rsidR="002510B1" w:rsidRPr="00BE10AE">
        <w:rPr>
          <w:rFonts w:ascii="Garamond" w:hAnsi="Garamond"/>
          <w:sz w:val="26"/>
          <w:szCs w:val="26"/>
        </w:rPr>
        <w:t xml:space="preserve">And </w:t>
      </w:r>
      <w:r w:rsidR="003D30F5" w:rsidRPr="00BE10AE">
        <w:rPr>
          <w:rFonts w:ascii="Garamond" w:hAnsi="Garamond"/>
          <w:sz w:val="26"/>
          <w:szCs w:val="26"/>
        </w:rPr>
        <w:t>fourth</w:t>
      </w:r>
      <w:r w:rsidR="002510B1" w:rsidRPr="00BE10AE">
        <w:rPr>
          <w:rFonts w:ascii="Garamond" w:hAnsi="Garamond"/>
          <w:sz w:val="26"/>
          <w:szCs w:val="26"/>
        </w:rPr>
        <w:t xml:space="preserve">, the court must not bargain with the defendant. </w:t>
      </w:r>
      <w:r w:rsidR="0043299D" w:rsidRPr="00BE10AE">
        <w:rPr>
          <w:rFonts w:ascii="Garamond" w:hAnsi="Garamond"/>
          <w:sz w:val="26"/>
          <w:szCs w:val="26"/>
        </w:rPr>
        <w:t>(</w:t>
      </w:r>
      <w:r w:rsidR="0043299D" w:rsidRPr="00BE10AE">
        <w:rPr>
          <w:rFonts w:ascii="Garamond" w:hAnsi="Garamond"/>
          <w:i/>
          <w:iCs/>
          <w:sz w:val="26"/>
          <w:szCs w:val="26"/>
        </w:rPr>
        <w:t>Id</w:t>
      </w:r>
      <w:r w:rsidR="0043299D" w:rsidRPr="00BE10AE">
        <w:rPr>
          <w:rFonts w:ascii="Garamond" w:hAnsi="Garamond"/>
          <w:sz w:val="26"/>
          <w:szCs w:val="26"/>
        </w:rPr>
        <w:t xml:space="preserve">. at pp. 175-176, citing </w:t>
      </w:r>
      <w:r w:rsidR="004476B9" w:rsidRPr="00BE10AE">
        <w:rPr>
          <w:rFonts w:ascii="Garamond" w:hAnsi="Garamond"/>
          <w:i/>
          <w:iCs/>
          <w:sz w:val="26"/>
          <w:szCs w:val="26"/>
        </w:rPr>
        <w:t>People v. Labora</w:t>
      </w:r>
      <w:r w:rsidR="004476B9" w:rsidRPr="00BE10AE">
        <w:rPr>
          <w:rFonts w:ascii="Garamond" w:hAnsi="Garamond"/>
          <w:sz w:val="26"/>
          <w:szCs w:val="26"/>
        </w:rPr>
        <w:t xml:space="preserve"> (2010) 190 Cal.App.4th 907, 915–916.) </w:t>
      </w:r>
      <w:r w:rsidR="002510B1" w:rsidRPr="00BE10AE">
        <w:rPr>
          <w:rFonts w:ascii="Garamond" w:hAnsi="Garamond"/>
          <w:sz w:val="26"/>
          <w:szCs w:val="26"/>
        </w:rPr>
        <w:t xml:space="preserve">Once the court indicates a sentence, it should not </w:t>
      </w:r>
      <w:r w:rsidR="003D30F5" w:rsidRPr="00BE10AE">
        <w:rPr>
          <w:rFonts w:ascii="Garamond" w:hAnsi="Garamond"/>
          <w:sz w:val="26"/>
          <w:szCs w:val="26"/>
        </w:rPr>
        <w:t xml:space="preserve">reduce the sentence further to induce the defendant to plead. </w:t>
      </w:r>
      <w:r w:rsidR="0043299D" w:rsidRPr="00BE10AE">
        <w:rPr>
          <w:rFonts w:ascii="Garamond" w:hAnsi="Garamond"/>
          <w:sz w:val="26"/>
          <w:szCs w:val="26"/>
        </w:rPr>
        <w:t>(</w:t>
      </w:r>
      <w:r w:rsidR="0043299D" w:rsidRPr="00BE10AE">
        <w:rPr>
          <w:rFonts w:ascii="Garamond" w:hAnsi="Garamond"/>
          <w:i/>
          <w:iCs/>
          <w:sz w:val="26"/>
          <w:szCs w:val="26"/>
        </w:rPr>
        <w:t>Ibid</w:t>
      </w:r>
      <w:r w:rsidR="0043299D" w:rsidRPr="00BE10AE">
        <w:rPr>
          <w:rFonts w:ascii="Garamond" w:hAnsi="Garamond"/>
          <w:sz w:val="26"/>
          <w:szCs w:val="26"/>
        </w:rPr>
        <w:t xml:space="preserve">.) </w:t>
      </w:r>
    </w:p>
    <w:p w14:paraId="034BABB0" w14:textId="15C0751C" w:rsidR="00822E80" w:rsidRPr="00BE10AE" w:rsidRDefault="003D3BE9" w:rsidP="003D3BE9">
      <w:pPr>
        <w:spacing w:line="360" w:lineRule="auto"/>
        <w:ind w:firstLine="360"/>
        <w:contextualSpacing/>
        <w:rPr>
          <w:rFonts w:ascii="Garamond" w:hAnsi="Garamond"/>
          <w:sz w:val="26"/>
          <w:szCs w:val="26"/>
        </w:rPr>
      </w:pPr>
      <w:r w:rsidRPr="00BE10AE">
        <w:rPr>
          <w:rFonts w:ascii="Garamond" w:hAnsi="Garamond"/>
          <w:i/>
          <w:iCs/>
          <w:sz w:val="26"/>
          <w:szCs w:val="26"/>
        </w:rPr>
        <w:t>Clancey</w:t>
      </w:r>
      <w:r w:rsidRPr="00BE10AE">
        <w:rPr>
          <w:rFonts w:ascii="Garamond" w:hAnsi="Garamond"/>
          <w:sz w:val="26"/>
          <w:szCs w:val="26"/>
        </w:rPr>
        <w:t xml:space="preserve"> itself was in the context of a prosecution appeal, but </w:t>
      </w:r>
      <w:r w:rsidR="00A87FDF" w:rsidRPr="00BE10AE">
        <w:rPr>
          <w:rFonts w:ascii="Garamond" w:hAnsi="Garamond"/>
          <w:sz w:val="26"/>
          <w:szCs w:val="26"/>
        </w:rPr>
        <w:t xml:space="preserve">there are instances where the court improperly </w:t>
      </w:r>
      <w:r w:rsidR="00C3004F" w:rsidRPr="00BE10AE">
        <w:rPr>
          <w:rFonts w:ascii="Garamond" w:hAnsi="Garamond"/>
          <w:sz w:val="26"/>
          <w:szCs w:val="26"/>
        </w:rPr>
        <w:t xml:space="preserve">adds </w:t>
      </w:r>
      <w:r w:rsidR="00304EC8" w:rsidRPr="00BE10AE">
        <w:rPr>
          <w:rFonts w:ascii="Garamond" w:hAnsi="Garamond"/>
          <w:sz w:val="26"/>
          <w:szCs w:val="26"/>
        </w:rPr>
        <w:t xml:space="preserve">terms or conditions to the plea agreement that the parties did not agree to. </w:t>
      </w:r>
      <w:r w:rsidR="003705E3" w:rsidRPr="00BE10AE">
        <w:rPr>
          <w:rFonts w:ascii="Garamond" w:hAnsi="Garamond"/>
          <w:i/>
          <w:iCs/>
          <w:sz w:val="26"/>
          <w:szCs w:val="26"/>
        </w:rPr>
        <w:t>Clancey</w:t>
      </w:r>
      <w:r w:rsidR="003705E3" w:rsidRPr="00BE10AE">
        <w:rPr>
          <w:rFonts w:ascii="Garamond" w:hAnsi="Garamond"/>
          <w:sz w:val="26"/>
          <w:szCs w:val="26"/>
        </w:rPr>
        <w:t xml:space="preserve"> </w:t>
      </w:r>
      <w:r w:rsidR="00CA40E8" w:rsidRPr="00BE10AE">
        <w:rPr>
          <w:rFonts w:ascii="Garamond" w:hAnsi="Garamond"/>
          <w:sz w:val="26"/>
          <w:szCs w:val="26"/>
        </w:rPr>
        <w:t xml:space="preserve">shows that </w:t>
      </w:r>
      <w:r w:rsidR="00591832">
        <w:rPr>
          <w:rFonts w:ascii="Garamond" w:hAnsi="Garamond"/>
          <w:sz w:val="26"/>
          <w:szCs w:val="26"/>
        </w:rPr>
        <w:t xml:space="preserve">the </w:t>
      </w:r>
      <w:r w:rsidR="00CA40E8" w:rsidRPr="00BE10AE">
        <w:rPr>
          <w:rFonts w:ascii="Garamond" w:hAnsi="Garamond"/>
          <w:sz w:val="26"/>
          <w:szCs w:val="26"/>
        </w:rPr>
        <w:t>court</w:t>
      </w:r>
      <w:r w:rsidR="00591832">
        <w:rPr>
          <w:rFonts w:ascii="Garamond" w:hAnsi="Garamond"/>
          <w:sz w:val="26"/>
          <w:szCs w:val="26"/>
        </w:rPr>
        <w:t xml:space="preserve"> cannot </w:t>
      </w:r>
      <w:r w:rsidR="00CA40E8" w:rsidRPr="00BE10AE">
        <w:rPr>
          <w:rFonts w:ascii="Garamond" w:hAnsi="Garamond"/>
          <w:sz w:val="26"/>
          <w:szCs w:val="26"/>
        </w:rPr>
        <w:t>improperly inse</w:t>
      </w:r>
      <w:r w:rsidR="00234D00" w:rsidRPr="00BE10AE">
        <w:rPr>
          <w:rFonts w:ascii="Garamond" w:hAnsi="Garamond"/>
          <w:sz w:val="26"/>
          <w:szCs w:val="26"/>
        </w:rPr>
        <w:t>r</w:t>
      </w:r>
      <w:r w:rsidR="00CA40E8" w:rsidRPr="00BE10AE">
        <w:rPr>
          <w:rFonts w:ascii="Garamond" w:hAnsi="Garamond"/>
          <w:sz w:val="26"/>
          <w:szCs w:val="26"/>
        </w:rPr>
        <w:t>t</w:t>
      </w:r>
      <w:r w:rsidR="003705E3" w:rsidRPr="00BE10AE">
        <w:rPr>
          <w:rFonts w:ascii="Garamond" w:hAnsi="Garamond"/>
          <w:sz w:val="26"/>
          <w:szCs w:val="26"/>
        </w:rPr>
        <w:t xml:space="preserve"> itself into negotiations</w:t>
      </w:r>
      <w:r w:rsidR="00CA40E8" w:rsidRPr="00BE10AE">
        <w:rPr>
          <w:rFonts w:ascii="Garamond" w:hAnsi="Garamond"/>
          <w:sz w:val="26"/>
          <w:szCs w:val="26"/>
        </w:rPr>
        <w:t xml:space="preserve"> for either side</w:t>
      </w:r>
      <w:r w:rsidR="00C46614" w:rsidRPr="00BE10AE">
        <w:rPr>
          <w:rFonts w:ascii="Garamond" w:hAnsi="Garamond"/>
          <w:sz w:val="26"/>
          <w:szCs w:val="26"/>
        </w:rPr>
        <w:t xml:space="preserve">. For instance, </w:t>
      </w:r>
      <w:r w:rsidR="00F96511" w:rsidRPr="00BE10AE">
        <w:rPr>
          <w:rFonts w:ascii="Garamond" w:hAnsi="Garamond"/>
          <w:sz w:val="26"/>
          <w:szCs w:val="26"/>
        </w:rPr>
        <w:t xml:space="preserve">while courts have the authority under Penal Code section 1192.5 to accept or reject a plea, they </w:t>
      </w:r>
      <w:r w:rsidR="00CA40E8" w:rsidRPr="00BE10AE">
        <w:rPr>
          <w:rFonts w:ascii="Garamond" w:hAnsi="Garamond"/>
          <w:sz w:val="26"/>
          <w:szCs w:val="26"/>
        </w:rPr>
        <w:t>may</w:t>
      </w:r>
      <w:r w:rsidR="00F96511" w:rsidRPr="00BE10AE">
        <w:rPr>
          <w:rFonts w:ascii="Garamond" w:hAnsi="Garamond"/>
          <w:sz w:val="26"/>
          <w:szCs w:val="26"/>
        </w:rPr>
        <w:t xml:space="preserve"> not unilaterally impose their own terms and conditions on a plea</w:t>
      </w:r>
      <w:r w:rsidR="00E74A63" w:rsidRPr="00BE10AE">
        <w:rPr>
          <w:rFonts w:ascii="Garamond" w:hAnsi="Garamond"/>
          <w:sz w:val="26"/>
          <w:szCs w:val="26"/>
        </w:rPr>
        <w:t>, as the court did in</w:t>
      </w:r>
      <w:r w:rsidR="00F96511" w:rsidRPr="00BE10AE">
        <w:rPr>
          <w:rFonts w:ascii="Garamond" w:hAnsi="Garamond"/>
          <w:sz w:val="26"/>
          <w:szCs w:val="26"/>
        </w:rPr>
        <w:t xml:space="preserve"> </w:t>
      </w:r>
      <w:r w:rsidR="00EE2452" w:rsidRPr="00BE10AE">
        <w:rPr>
          <w:rFonts w:ascii="Garamond" w:hAnsi="Garamond"/>
          <w:i/>
          <w:iCs/>
          <w:sz w:val="26"/>
          <w:szCs w:val="26"/>
        </w:rPr>
        <w:t>People v. Jensen</w:t>
      </w:r>
      <w:r w:rsidR="00EE2452" w:rsidRPr="00BE10AE">
        <w:rPr>
          <w:rFonts w:ascii="Garamond" w:hAnsi="Garamond"/>
          <w:sz w:val="26"/>
          <w:szCs w:val="26"/>
        </w:rPr>
        <w:t xml:space="preserve"> (1992) 4 Cal.App.4th 978</w:t>
      </w:r>
      <w:r w:rsidR="00E74A63" w:rsidRPr="00BE10AE">
        <w:rPr>
          <w:rFonts w:ascii="Garamond" w:hAnsi="Garamond"/>
          <w:sz w:val="26"/>
          <w:szCs w:val="26"/>
        </w:rPr>
        <w:t xml:space="preserve">. There, </w:t>
      </w:r>
      <w:r w:rsidR="00EE2452" w:rsidRPr="00BE10AE">
        <w:rPr>
          <w:rFonts w:ascii="Garamond" w:hAnsi="Garamond"/>
          <w:sz w:val="26"/>
          <w:szCs w:val="26"/>
        </w:rPr>
        <w:t>the defendant had negotiated a</w:t>
      </w:r>
      <w:r w:rsidR="00F2603A" w:rsidRPr="00BE10AE">
        <w:rPr>
          <w:rFonts w:ascii="Garamond" w:hAnsi="Garamond"/>
          <w:sz w:val="26"/>
          <w:szCs w:val="26"/>
        </w:rPr>
        <w:t xml:space="preserve"> </w:t>
      </w:r>
      <w:r w:rsidR="005B7F83" w:rsidRPr="00BE10AE">
        <w:rPr>
          <w:rFonts w:ascii="Garamond" w:hAnsi="Garamond"/>
          <w:sz w:val="26"/>
          <w:szCs w:val="26"/>
        </w:rPr>
        <w:t xml:space="preserve">deal for </w:t>
      </w:r>
      <w:r w:rsidR="00F2603A" w:rsidRPr="00BE10AE">
        <w:rPr>
          <w:rFonts w:ascii="Garamond" w:hAnsi="Garamond"/>
          <w:sz w:val="26"/>
          <w:szCs w:val="26"/>
        </w:rPr>
        <w:t>probation</w:t>
      </w:r>
      <w:r w:rsidR="005B7F83" w:rsidRPr="00BE10AE">
        <w:rPr>
          <w:rFonts w:ascii="Garamond" w:hAnsi="Garamond"/>
          <w:sz w:val="26"/>
          <w:szCs w:val="26"/>
        </w:rPr>
        <w:t xml:space="preserve">, and the prosecutor had agreed that the defendant could be released </w:t>
      </w:r>
      <w:r w:rsidR="00EE2452" w:rsidRPr="00BE10AE">
        <w:rPr>
          <w:rFonts w:ascii="Garamond" w:hAnsi="Garamond"/>
          <w:sz w:val="26"/>
          <w:szCs w:val="26"/>
        </w:rPr>
        <w:t xml:space="preserve">pending sentencing. </w:t>
      </w:r>
      <w:r w:rsidR="004313F3" w:rsidRPr="00BE10AE">
        <w:rPr>
          <w:rFonts w:ascii="Garamond" w:hAnsi="Garamond"/>
          <w:sz w:val="26"/>
          <w:szCs w:val="26"/>
        </w:rPr>
        <w:t>(</w:t>
      </w:r>
      <w:r w:rsidR="004313F3" w:rsidRPr="00BE10AE">
        <w:rPr>
          <w:rFonts w:ascii="Garamond" w:hAnsi="Garamond"/>
          <w:i/>
          <w:iCs/>
          <w:sz w:val="26"/>
          <w:szCs w:val="26"/>
        </w:rPr>
        <w:t>Id</w:t>
      </w:r>
      <w:r w:rsidR="004313F3" w:rsidRPr="00BE10AE">
        <w:rPr>
          <w:rFonts w:ascii="Garamond" w:hAnsi="Garamond"/>
          <w:sz w:val="26"/>
          <w:szCs w:val="26"/>
        </w:rPr>
        <w:t>. at p</w:t>
      </w:r>
      <w:r w:rsidR="007B3A13" w:rsidRPr="00BE10AE">
        <w:rPr>
          <w:rFonts w:ascii="Garamond" w:hAnsi="Garamond"/>
          <w:sz w:val="26"/>
          <w:szCs w:val="26"/>
        </w:rPr>
        <w:t>p</w:t>
      </w:r>
      <w:r w:rsidR="004313F3" w:rsidRPr="00BE10AE">
        <w:rPr>
          <w:rFonts w:ascii="Garamond" w:hAnsi="Garamond"/>
          <w:sz w:val="26"/>
          <w:szCs w:val="26"/>
        </w:rPr>
        <w:t xml:space="preserve">. </w:t>
      </w:r>
      <w:r w:rsidR="007B3A13" w:rsidRPr="00BE10AE">
        <w:rPr>
          <w:rFonts w:ascii="Garamond" w:hAnsi="Garamond"/>
          <w:sz w:val="26"/>
          <w:szCs w:val="26"/>
        </w:rPr>
        <w:t xml:space="preserve">980-981.) </w:t>
      </w:r>
      <w:r w:rsidR="00EE2452" w:rsidRPr="00BE10AE">
        <w:rPr>
          <w:rFonts w:ascii="Garamond" w:hAnsi="Garamond"/>
          <w:sz w:val="26"/>
          <w:szCs w:val="26"/>
        </w:rPr>
        <w:t>The court</w:t>
      </w:r>
      <w:r w:rsidR="002D04A5" w:rsidRPr="00BE10AE">
        <w:rPr>
          <w:rFonts w:ascii="Garamond" w:hAnsi="Garamond"/>
          <w:sz w:val="26"/>
          <w:szCs w:val="26"/>
        </w:rPr>
        <w:t xml:space="preserve">, </w:t>
      </w:r>
      <w:r w:rsidR="005B7F83" w:rsidRPr="00BE10AE">
        <w:rPr>
          <w:rFonts w:ascii="Garamond" w:hAnsi="Garamond"/>
          <w:sz w:val="26"/>
          <w:szCs w:val="26"/>
        </w:rPr>
        <w:t>however</w:t>
      </w:r>
      <w:r w:rsidR="002D04A5" w:rsidRPr="00BE10AE">
        <w:rPr>
          <w:rFonts w:ascii="Garamond" w:hAnsi="Garamond"/>
          <w:sz w:val="26"/>
          <w:szCs w:val="26"/>
        </w:rPr>
        <w:t xml:space="preserve">, told the defendant that it had a policy of </w:t>
      </w:r>
      <w:r w:rsidR="00F2603A" w:rsidRPr="00BE10AE">
        <w:rPr>
          <w:rFonts w:ascii="Garamond" w:hAnsi="Garamond"/>
          <w:sz w:val="26"/>
          <w:szCs w:val="26"/>
        </w:rPr>
        <w:t>imposing a</w:t>
      </w:r>
      <w:r w:rsidR="002D04A5" w:rsidRPr="00BE10AE">
        <w:rPr>
          <w:rFonts w:ascii="Garamond" w:hAnsi="Garamond"/>
          <w:sz w:val="26"/>
          <w:szCs w:val="26"/>
        </w:rPr>
        <w:t xml:space="preserve"> prison sentence </w:t>
      </w:r>
      <w:r w:rsidR="00F2603A" w:rsidRPr="00BE10AE">
        <w:rPr>
          <w:rFonts w:ascii="Garamond" w:hAnsi="Garamond"/>
          <w:sz w:val="26"/>
          <w:szCs w:val="26"/>
        </w:rPr>
        <w:t xml:space="preserve">for defendants who fail to appear </w:t>
      </w:r>
      <w:r w:rsidR="00E74A63" w:rsidRPr="00BE10AE">
        <w:rPr>
          <w:rFonts w:ascii="Garamond" w:hAnsi="Garamond"/>
          <w:sz w:val="26"/>
          <w:szCs w:val="26"/>
        </w:rPr>
        <w:t>for</w:t>
      </w:r>
      <w:r w:rsidR="00F2603A" w:rsidRPr="00BE10AE">
        <w:rPr>
          <w:rFonts w:ascii="Garamond" w:hAnsi="Garamond"/>
          <w:sz w:val="26"/>
          <w:szCs w:val="26"/>
        </w:rPr>
        <w:t xml:space="preserve"> sentenc</w:t>
      </w:r>
      <w:r w:rsidR="00E74A63" w:rsidRPr="00BE10AE">
        <w:rPr>
          <w:rFonts w:ascii="Garamond" w:hAnsi="Garamond"/>
          <w:sz w:val="26"/>
          <w:szCs w:val="26"/>
        </w:rPr>
        <w:t>ing</w:t>
      </w:r>
      <w:r w:rsidR="009D72CE" w:rsidRPr="00BE10AE">
        <w:rPr>
          <w:rFonts w:ascii="Garamond" w:hAnsi="Garamond"/>
          <w:sz w:val="26"/>
          <w:szCs w:val="26"/>
        </w:rPr>
        <w:t>, and af</w:t>
      </w:r>
      <w:r w:rsidR="00F61A40" w:rsidRPr="00BE10AE">
        <w:rPr>
          <w:rFonts w:ascii="Garamond" w:hAnsi="Garamond"/>
          <w:sz w:val="26"/>
          <w:szCs w:val="26"/>
        </w:rPr>
        <w:t>ter</w:t>
      </w:r>
      <w:r w:rsidR="00822E80" w:rsidRPr="00BE10AE">
        <w:rPr>
          <w:rFonts w:ascii="Garamond" w:hAnsi="Garamond"/>
          <w:sz w:val="26"/>
          <w:szCs w:val="26"/>
        </w:rPr>
        <w:t xml:space="preserve"> Jensen failed to show, </w:t>
      </w:r>
      <w:r w:rsidR="00F61A40" w:rsidRPr="00BE10AE">
        <w:rPr>
          <w:rFonts w:ascii="Garamond" w:hAnsi="Garamond"/>
          <w:sz w:val="26"/>
          <w:szCs w:val="26"/>
        </w:rPr>
        <w:t>the court sentenced him to prison.</w:t>
      </w:r>
      <w:r w:rsidR="007B3A13" w:rsidRPr="00BE10AE">
        <w:rPr>
          <w:rFonts w:ascii="Garamond" w:hAnsi="Garamond"/>
          <w:sz w:val="26"/>
          <w:szCs w:val="26"/>
        </w:rPr>
        <w:t xml:space="preserve"> (</w:t>
      </w:r>
      <w:r w:rsidR="007B3A13" w:rsidRPr="00BE10AE">
        <w:rPr>
          <w:rFonts w:ascii="Garamond" w:hAnsi="Garamond"/>
          <w:i/>
          <w:iCs/>
          <w:sz w:val="26"/>
          <w:szCs w:val="26"/>
        </w:rPr>
        <w:t>Ibid</w:t>
      </w:r>
      <w:r w:rsidR="007B3A13" w:rsidRPr="00BE10AE">
        <w:rPr>
          <w:rFonts w:ascii="Garamond" w:hAnsi="Garamond"/>
          <w:sz w:val="26"/>
          <w:szCs w:val="26"/>
        </w:rPr>
        <w:t>.)</w:t>
      </w:r>
    </w:p>
    <w:p w14:paraId="7E5B0F0F" w14:textId="2D4C399E" w:rsidR="003D3BE9" w:rsidRPr="00BE10AE" w:rsidRDefault="00F2603A" w:rsidP="003D3BE9">
      <w:pPr>
        <w:spacing w:line="360" w:lineRule="auto"/>
        <w:ind w:firstLine="360"/>
        <w:contextualSpacing/>
        <w:rPr>
          <w:rFonts w:ascii="Garamond" w:hAnsi="Garamond"/>
          <w:sz w:val="26"/>
          <w:szCs w:val="26"/>
        </w:rPr>
      </w:pPr>
      <w:r w:rsidRPr="00BE10AE">
        <w:rPr>
          <w:rFonts w:ascii="Garamond" w:hAnsi="Garamond"/>
          <w:sz w:val="26"/>
          <w:szCs w:val="26"/>
        </w:rPr>
        <w:t>The Court of Appeal found that this w</w:t>
      </w:r>
      <w:r w:rsidR="001E0607" w:rsidRPr="00BE10AE">
        <w:rPr>
          <w:rFonts w:ascii="Garamond" w:hAnsi="Garamond"/>
          <w:sz w:val="26"/>
          <w:szCs w:val="26"/>
        </w:rPr>
        <w:t>as a due process violation</w:t>
      </w:r>
      <w:r w:rsidR="00B93350" w:rsidRPr="00BE10AE">
        <w:rPr>
          <w:rFonts w:ascii="Garamond" w:hAnsi="Garamond"/>
          <w:sz w:val="26"/>
          <w:szCs w:val="26"/>
        </w:rPr>
        <w:t xml:space="preserve"> because it was not a part of the </w:t>
      </w:r>
      <w:r w:rsidR="009D72CE" w:rsidRPr="00BE10AE">
        <w:rPr>
          <w:rFonts w:ascii="Garamond" w:hAnsi="Garamond"/>
          <w:sz w:val="26"/>
          <w:szCs w:val="26"/>
        </w:rPr>
        <w:t xml:space="preserve">original </w:t>
      </w:r>
      <w:r w:rsidR="00B93350" w:rsidRPr="00BE10AE">
        <w:rPr>
          <w:rFonts w:ascii="Garamond" w:hAnsi="Garamond"/>
          <w:sz w:val="26"/>
          <w:szCs w:val="26"/>
        </w:rPr>
        <w:t>plea bargain.</w:t>
      </w:r>
      <w:r w:rsidR="000F4E71" w:rsidRPr="00BE10AE">
        <w:rPr>
          <w:rFonts w:ascii="Garamond" w:hAnsi="Garamond"/>
          <w:sz w:val="26"/>
          <w:szCs w:val="26"/>
        </w:rPr>
        <w:t xml:space="preserve"> (</w:t>
      </w:r>
      <w:r w:rsidR="000F4E71" w:rsidRPr="00BE10AE">
        <w:rPr>
          <w:rFonts w:ascii="Garamond" w:hAnsi="Garamond"/>
          <w:i/>
          <w:iCs/>
          <w:sz w:val="26"/>
          <w:szCs w:val="26"/>
        </w:rPr>
        <w:t>Jensen</w:t>
      </w:r>
      <w:r w:rsidR="000F4E71" w:rsidRPr="00BE10AE">
        <w:rPr>
          <w:rFonts w:ascii="Garamond" w:hAnsi="Garamond"/>
          <w:sz w:val="26"/>
          <w:szCs w:val="26"/>
        </w:rPr>
        <w:t xml:space="preserve">, </w:t>
      </w:r>
      <w:r w:rsidR="000F4E71" w:rsidRPr="00BE10AE">
        <w:rPr>
          <w:rFonts w:ascii="Garamond" w:hAnsi="Garamond"/>
          <w:i/>
          <w:iCs/>
          <w:sz w:val="26"/>
          <w:szCs w:val="26"/>
        </w:rPr>
        <w:t>supra</w:t>
      </w:r>
      <w:r w:rsidR="000F4E71" w:rsidRPr="00BE10AE">
        <w:rPr>
          <w:rFonts w:ascii="Garamond" w:hAnsi="Garamond"/>
          <w:sz w:val="26"/>
          <w:szCs w:val="26"/>
        </w:rPr>
        <w:t>, 4 Cal.App.4th at p. 984.)</w:t>
      </w:r>
      <w:r w:rsidR="00B93350" w:rsidRPr="00BE10AE">
        <w:rPr>
          <w:rFonts w:ascii="Garamond" w:hAnsi="Garamond"/>
          <w:sz w:val="26"/>
          <w:szCs w:val="26"/>
        </w:rPr>
        <w:t xml:space="preserve"> </w:t>
      </w:r>
      <w:r w:rsidR="00F61A40" w:rsidRPr="00BE10AE">
        <w:rPr>
          <w:rFonts w:ascii="Garamond" w:hAnsi="Garamond"/>
          <w:sz w:val="26"/>
          <w:szCs w:val="26"/>
        </w:rPr>
        <w:t>Jensen had worked out his deal with the prosecutor, and rather than reject the deal</w:t>
      </w:r>
      <w:r w:rsidR="006866C8" w:rsidRPr="00BE10AE">
        <w:rPr>
          <w:rFonts w:ascii="Garamond" w:hAnsi="Garamond"/>
          <w:sz w:val="26"/>
          <w:szCs w:val="26"/>
        </w:rPr>
        <w:t xml:space="preserve">, the court imposed its own terms. </w:t>
      </w:r>
      <w:r w:rsidR="006704A0" w:rsidRPr="00BE10AE">
        <w:rPr>
          <w:rFonts w:ascii="Garamond" w:hAnsi="Garamond"/>
          <w:sz w:val="26"/>
          <w:szCs w:val="26"/>
        </w:rPr>
        <w:t>(</w:t>
      </w:r>
      <w:r w:rsidR="006704A0" w:rsidRPr="00BE10AE">
        <w:rPr>
          <w:rFonts w:ascii="Garamond" w:hAnsi="Garamond"/>
          <w:i/>
          <w:iCs/>
          <w:sz w:val="26"/>
          <w:szCs w:val="26"/>
        </w:rPr>
        <w:t>Ibid</w:t>
      </w:r>
      <w:r w:rsidR="006704A0" w:rsidRPr="00BE10AE">
        <w:rPr>
          <w:rFonts w:ascii="Garamond" w:hAnsi="Garamond"/>
          <w:sz w:val="26"/>
          <w:szCs w:val="26"/>
        </w:rPr>
        <w:t xml:space="preserve">.) </w:t>
      </w:r>
      <w:r w:rsidR="006866C8" w:rsidRPr="00BE10AE">
        <w:rPr>
          <w:rFonts w:ascii="Garamond" w:hAnsi="Garamond"/>
          <w:sz w:val="26"/>
          <w:szCs w:val="26"/>
        </w:rPr>
        <w:t>This was improper.</w:t>
      </w:r>
      <w:r w:rsidR="008E4DCB" w:rsidRPr="00BE10AE">
        <w:rPr>
          <w:rStyle w:val="FootnoteReference"/>
          <w:rFonts w:ascii="Garamond" w:hAnsi="Garamond"/>
          <w:sz w:val="26"/>
          <w:szCs w:val="26"/>
        </w:rPr>
        <w:footnoteReference w:id="1"/>
      </w:r>
      <w:r w:rsidR="006704A0" w:rsidRPr="00BE10AE">
        <w:rPr>
          <w:rFonts w:ascii="Garamond" w:hAnsi="Garamond"/>
          <w:sz w:val="26"/>
          <w:szCs w:val="26"/>
        </w:rPr>
        <w:t xml:space="preserve"> (</w:t>
      </w:r>
      <w:r w:rsidR="006704A0" w:rsidRPr="00BE10AE">
        <w:rPr>
          <w:rFonts w:ascii="Garamond" w:hAnsi="Garamond"/>
          <w:i/>
          <w:iCs/>
          <w:sz w:val="26"/>
          <w:szCs w:val="26"/>
        </w:rPr>
        <w:t>Ibid</w:t>
      </w:r>
      <w:r w:rsidR="006704A0" w:rsidRPr="00BE10AE">
        <w:rPr>
          <w:rFonts w:ascii="Garamond" w:hAnsi="Garamond"/>
          <w:sz w:val="26"/>
          <w:szCs w:val="26"/>
        </w:rPr>
        <w:t>.)</w:t>
      </w:r>
    </w:p>
    <w:p w14:paraId="1198B07E" w14:textId="2EC7F342" w:rsidR="008A7249" w:rsidRPr="00BE10AE" w:rsidRDefault="00665F9C" w:rsidP="003D3BE9">
      <w:pPr>
        <w:spacing w:line="360" w:lineRule="auto"/>
        <w:ind w:firstLine="360"/>
        <w:contextualSpacing/>
        <w:rPr>
          <w:rFonts w:ascii="Garamond" w:hAnsi="Garamond"/>
          <w:sz w:val="26"/>
          <w:szCs w:val="26"/>
        </w:rPr>
      </w:pPr>
      <w:r w:rsidRPr="00BE10AE">
        <w:rPr>
          <w:rFonts w:ascii="Garamond" w:hAnsi="Garamond"/>
          <w:sz w:val="26"/>
          <w:szCs w:val="26"/>
        </w:rPr>
        <w:t xml:space="preserve">But </w:t>
      </w:r>
      <w:r w:rsidR="008E4DCB" w:rsidRPr="00BE10AE">
        <w:rPr>
          <w:rFonts w:ascii="Garamond" w:hAnsi="Garamond"/>
          <w:sz w:val="26"/>
          <w:szCs w:val="26"/>
        </w:rPr>
        <w:t>why was this improper if the court could have rejected the plea outright</w:t>
      </w:r>
      <w:r w:rsidR="008A7249" w:rsidRPr="00BE10AE">
        <w:rPr>
          <w:rFonts w:ascii="Garamond" w:hAnsi="Garamond"/>
          <w:sz w:val="26"/>
          <w:szCs w:val="26"/>
        </w:rPr>
        <w:t xml:space="preserve">? </w:t>
      </w:r>
      <w:r w:rsidR="006E3E88" w:rsidRPr="00BE10AE">
        <w:rPr>
          <w:rFonts w:ascii="Garamond" w:hAnsi="Garamond"/>
          <w:sz w:val="26"/>
          <w:szCs w:val="26"/>
        </w:rPr>
        <w:t xml:space="preserve">Courts are, of course, permitted </w:t>
      </w:r>
      <w:r w:rsidR="0076006C" w:rsidRPr="00BE10AE">
        <w:rPr>
          <w:rFonts w:ascii="Garamond" w:hAnsi="Garamond"/>
          <w:sz w:val="26"/>
          <w:szCs w:val="26"/>
        </w:rPr>
        <w:t>to reject</w:t>
      </w:r>
      <w:r w:rsidR="006E3E88" w:rsidRPr="00BE10AE">
        <w:rPr>
          <w:rFonts w:ascii="Garamond" w:hAnsi="Garamond"/>
          <w:sz w:val="26"/>
          <w:szCs w:val="26"/>
        </w:rPr>
        <w:t xml:space="preserve"> pleas. </w:t>
      </w:r>
      <w:r w:rsidR="00814F77" w:rsidRPr="00BE10AE">
        <w:rPr>
          <w:rFonts w:ascii="Garamond" w:hAnsi="Garamond"/>
          <w:sz w:val="26"/>
          <w:szCs w:val="26"/>
        </w:rPr>
        <w:t xml:space="preserve">The process of plea negotiation </w:t>
      </w:r>
      <w:r w:rsidR="00345E47" w:rsidRPr="00BE10AE">
        <w:rPr>
          <w:rFonts w:ascii="Garamond" w:hAnsi="Garamond"/>
          <w:sz w:val="26"/>
          <w:szCs w:val="26"/>
        </w:rPr>
        <w:t>“</w:t>
      </w:r>
      <w:r w:rsidR="00814F77" w:rsidRPr="00BE10AE">
        <w:rPr>
          <w:rFonts w:ascii="Garamond" w:hAnsi="Garamond"/>
          <w:sz w:val="26"/>
          <w:szCs w:val="26"/>
        </w:rPr>
        <w:t>contemplates an agreement negotiated by the People and the defendant and approved by the court.</w:t>
      </w:r>
      <w:r w:rsidR="00345E47" w:rsidRPr="00BE10AE">
        <w:rPr>
          <w:rFonts w:ascii="Garamond" w:hAnsi="Garamond"/>
          <w:sz w:val="26"/>
          <w:szCs w:val="26"/>
        </w:rPr>
        <w:t>”</w:t>
      </w:r>
      <w:r w:rsidR="00814F77" w:rsidRPr="00BE10AE">
        <w:rPr>
          <w:rFonts w:ascii="Garamond" w:hAnsi="Garamond"/>
          <w:sz w:val="26"/>
          <w:szCs w:val="26"/>
        </w:rPr>
        <w:t xml:space="preserve"> (</w:t>
      </w:r>
      <w:r w:rsidR="008C306C" w:rsidRPr="00BE10AE">
        <w:rPr>
          <w:rFonts w:ascii="Garamond" w:hAnsi="Garamond"/>
          <w:i/>
          <w:iCs/>
          <w:sz w:val="26"/>
          <w:szCs w:val="26"/>
        </w:rPr>
        <w:t>People v. Segura</w:t>
      </w:r>
      <w:r w:rsidR="008C306C" w:rsidRPr="00BE10AE">
        <w:rPr>
          <w:rFonts w:ascii="Garamond" w:hAnsi="Garamond"/>
          <w:sz w:val="26"/>
          <w:szCs w:val="26"/>
        </w:rPr>
        <w:t xml:space="preserve"> (2008) 44 Cal. 4th 921, </w:t>
      </w:r>
      <w:r w:rsidR="0063471A" w:rsidRPr="00BE10AE">
        <w:rPr>
          <w:rFonts w:ascii="Garamond" w:hAnsi="Garamond"/>
          <w:sz w:val="26"/>
          <w:szCs w:val="26"/>
        </w:rPr>
        <w:t>929-930,</w:t>
      </w:r>
      <w:r w:rsidR="008C306C" w:rsidRPr="00BE10AE">
        <w:rPr>
          <w:rFonts w:ascii="Garamond" w:hAnsi="Garamond"/>
          <w:sz w:val="26"/>
          <w:szCs w:val="26"/>
        </w:rPr>
        <w:t xml:space="preserve"> citing Pen. Code §§ 1192.1, 1192.2, 1192.4, 1192.5; </w:t>
      </w:r>
      <w:r w:rsidR="008C306C" w:rsidRPr="00BE10AE">
        <w:rPr>
          <w:rFonts w:ascii="Garamond" w:hAnsi="Garamond"/>
          <w:i/>
          <w:iCs/>
          <w:sz w:val="26"/>
          <w:szCs w:val="26"/>
        </w:rPr>
        <w:t>People v. West</w:t>
      </w:r>
      <w:r w:rsidR="008C306C" w:rsidRPr="00BE10AE">
        <w:rPr>
          <w:rFonts w:ascii="Garamond" w:hAnsi="Garamond"/>
          <w:sz w:val="26"/>
          <w:szCs w:val="26"/>
        </w:rPr>
        <w:t xml:space="preserve"> (1970) 3 Cal.3d 595, 604–608.)</w:t>
      </w:r>
      <w:r w:rsidR="00F64591" w:rsidRPr="00BE10AE">
        <w:rPr>
          <w:rFonts w:ascii="Garamond" w:hAnsi="Garamond"/>
          <w:sz w:val="26"/>
          <w:szCs w:val="26"/>
        </w:rPr>
        <w:t xml:space="preserve"> </w:t>
      </w:r>
      <w:r w:rsidR="006E3E88" w:rsidRPr="00BE10AE">
        <w:rPr>
          <w:rFonts w:ascii="Garamond" w:hAnsi="Garamond"/>
          <w:sz w:val="26"/>
          <w:szCs w:val="26"/>
        </w:rPr>
        <w:t>But</w:t>
      </w:r>
      <w:r w:rsidR="00AB5662" w:rsidRPr="00BE10AE">
        <w:rPr>
          <w:rFonts w:ascii="Garamond" w:hAnsi="Garamond"/>
          <w:sz w:val="26"/>
          <w:szCs w:val="26"/>
        </w:rPr>
        <w:t xml:space="preserve"> in rejecting a plea bargain, the court must state its reasons</w:t>
      </w:r>
      <w:r w:rsidR="00E401BD" w:rsidRPr="00BE10AE">
        <w:rPr>
          <w:rFonts w:ascii="Garamond" w:hAnsi="Garamond"/>
          <w:sz w:val="26"/>
          <w:szCs w:val="26"/>
        </w:rPr>
        <w:t>. (</w:t>
      </w:r>
      <w:r w:rsidR="00E401BD" w:rsidRPr="00BE10AE">
        <w:rPr>
          <w:rFonts w:ascii="Garamond" w:hAnsi="Garamond"/>
          <w:i/>
          <w:iCs/>
          <w:sz w:val="26"/>
          <w:szCs w:val="26"/>
        </w:rPr>
        <w:t>People v. Loya</w:t>
      </w:r>
      <w:r w:rsidR="00E401BD" w:rsidRPr="00BE10AE">
        <w:rPr>
          <w:rFonts w:ascii="Garamond" w:hAnsi="Garamond"/>
          <w:sz w:val="26"/>
          <w:szCs w:val="26"/>
        </w:rPr>
        <w:t xml:space="preserve"> (2016) 1 Cal.App.5th 932</w:t>
      </w:r>
      <w:r w:rsidR="00BE76B1" w:rsidRPr="00BE10AE">
        <w:rPr>
          <w:rFonts w:ascii="Garamond" w:hAnsi="Garamond"/>
          <w:sz w:val="26"/>
          <w:szCs w:val="26"/>
        </w:rPr>
        <w:t>, 949</w:t>
      </w:r>
      <w:r w:rsidR="00E401BD" w:rsidRPr="00BE10AE">
        <w:rPr>
          <w:rFonts w:ascii="Garamond" w:hAnsi="Garamond"/>
          <w:sz w:val="26"/>
          <w:szCs w:val="26"/>
        </w:rPr>
        <w:t>.)</w:t>
      </w:r>
      <w:r w:rsidR="00197BC0" w:rsidRPr="00BE10AE">
        <w:rPr>
          <w:rFonts w:ascii="Garamond" w:hAnsi="Garamond"/>
          <w:sz w:val="26"/>
          <w:szCs w:val="26"/>
        </w:rPr>
        <w:t xml:space="preserve"> In </w:t>
      </w:r>
      <w:r w:rsidR="00197BC0" w:rsidRPr="00BE10AE">
        <w:rPr>
          <w:rFonts w:ascii="Garamond" w:hAnsi="Garamond"/>
          <w:i/>
          <w:iCs/>
          <w:sz w:val="26"/>
          <w:szCs w:val="26"/>
        </w:rPr>
        <w:t>Loya</w:t>
      </w:r>
      <w:r w:rsidR="00197BC0" w:rsidRPr="00BE10AE">
        <w:rPr>
          <w:rFonts w:ascii="Garamond" w:hAnsi="Garamond"/>
          <w:sz w:val="26"/>
          <w:szCs w:val="26"/>
        </w:rPr>
        <w:t xml:space="preserve">, for instance, the </w:t>
      </w:r>
      <w:r w:rsidR="00DF7738" w:rsidRPr="00BE10AE">
        <w:rPr>
          <w:rFonts w:ascii="Garamond" w:hAnsi="Garamond"/>
          <w:sz w:val="26"/>
          <w:szCs w:val="26"/>
        </w:rPr>
        <w:t xml:space="preserve">court engaged in a </w:t>
      </w:r>
      <w:r w:rsidR="00345E47" w:rsidRPr="00BE10AE">
        <w:rPr>
          <w:rFonts w:ascii="Garamond" w:hAnsi="Garamond"/>
          <w:sz w:val="26"/>
          <w:szCs w:val="26"/>
        </w:rPr>
        <w:t>“</w:t>
      </w:r>
      <w:r w:rsidR="00DF7738" w:rsidRPr="00BE10AE">
        <w:rPr>
          <w:rFonts w:ascii="Garamond" w:hAnsi="Garamond"/>
          <w:sz w:val="26"/>
          <w:szCs w:val="26"/>
        </w:rPr>
        <w:t>mutually frustrating</w:t>
      </w:r>
      <w:r w:rsidR="00345E47" w:rsidRPr="00BE10AE">
        <w:rPr>
          <w:rFonts w:ascii="Garamond" w:hAnsi="Garamond"/>
          <w:sz w:val="26"/>
          <w:szCs w:val="26"/>
        </w:rPr>
        <w:t>”</w:t>
      </w:r>
      <w:r w:rsidR="00DF7738" w:rsidRPr="00BE10AE">
        <w:rPr>
          <w:rFonts w:ascii="Garamond" w:hAnsi="Garamond"/>
          <w:sz w:val="26"/>
          <w:szCs w:val="26"/>
        </w:rPr>
        <w:t xml:space="preserve"> discussion with the defendant on the morning of trial about whether he was going to accept the prosecution</w:t>
      </w:r>
      <w:r w:rsidR="00345E47" w:rsidRPr="00BE10AE">
        <w:rPr>
          <w:rFonts w:ascii="Garamond" w:hAnsi="Garamond"/>
          <w:sz w:val="26"/>
          <w:szCs w:val="26"/>
        </w:rPr>
        <w:t>’</w:t>
      </w:r>
      <w:r w:rsidR="00DF7738" w:rsidRPr="00BE10AE">
        <w:rPr>
          <w:rFonts w:ascii="Garamond" w:hAnsi="Garamond"/>
          <w:sz w:val="26"/>
          <w:szCs w:val="26"/>
        </w:rPr>
        <w:t xml:space="preserve">s plea offer. </w:t>
      </w:r>
      <w:r w:rsidR="00B43949" w:rsidRPr="00BE10AE">
        <w:rPr>
          <w:rFonts w:ascii="Garamond" w:hAnsi="Garamond"/>
          <w:sz w:val="26"/>
          <w:szCs w:val="26"/>
        </w:rPr>
        <w:t>(</w:t>
      </w:r>
      <w:r w:rsidR="00B43949" w:rsidRPr="00BE10AE">
        <w:rPr>
          <w:rFonts w:ascii="Garamond" w:hAnsi="Garamond"/>
          <w:i/>
          <w:iCs/>
          <w:sz w:val="26"/>
          <w:szCs w:val="26"/>
        </w:rPr>
        <w:t>Id</w:t>
      </w:r>
      <w:r w:rsidR="00B43949" w:rsidRPr="00BE10AE">
        <w:rPr>
          <w:rFonts w:ascii="Garamond" w:hAnsi="Garamond"/>
          <w:sz w:val="26"/>
          <w:szCs w:val="26"/>
        </w:rPr>
        <w:t xml:space="preserve">. at p. 935.) </w:t>
      </w:r>
      <w:r w:rsidR="00F5313A" w:rsidRPr="00BE10AE">
        <w:rPr>
          <w:rFonts w:ascii="Garamond" w:hAnsi="Garamond"/>
          <w:sz w:val="26"/>
          <w:szCs w:val="26"/>
        </w:rPr>
        <w:t xml:space="preserve">As the defendant dithered about whether he would plead, the court grew frustrated and </w:t>
      </w:r>
      <w:r w:rsidR="00FF062F" w:rsidRPr="00BE10AE">
        <w:rPr>
          <w:rFonts w:ascii="Garamond" w:hAnsi="Garamond"/>
          <w:sz w:val="26"/>
          <w:szCs w:val="26"/>
        </w:rPr>
        <w:t xml:space="preserve">said it </w:t>
      </w:r>
      <w:r w:rsidR="008020FA" w:rsidRPr="00BE10AE">
        <w:rPr>
          <w:rFonts w:ascii="Garamond" w:hAnsi="Garamond"/>
          <w:sz w:val="26"/>
          <w:szCs w:val="26"/>
        </w:rPr>
        <w:t>would no longer accept</w:t>
      </w:r>
      <w:r w:rsidR="00F5313A" w:rsidRPr="00BE10AE">
        <w:rPr>
          <w:rFonts w:ascii="Garamond" w:hAnsi="Garamond"/>
          <w:sz w:val="26"/>
          <w:szCs w:val="26"/>
        </w:rPr>
        <w:t xml:space="preserve"> any plea.</w:t>
      </w:r>
      <w:r w:rsidR="000D7A40" w:rsidRPr="00BE10AE">
        <w:rPr>
          <w:rFonts w:ascii="Garamond" w:hAnsi="Garamond"/>
          <w:sz w:val="26"/>
          <w:szCs w:val="26"/>
        </w:rPr>
        <w:t xml:space="preserve"> (</w:t>
      </w:r>
      <w:r w:rsidR="000D7A40" w:rsidRPr="00BE10AE">
        <w:rPr>
          <w:rFonts w:ascii="Garamond" w:hAnsi="Garamond"/>
          <w:i/>
          <w:iCs/>
          <w:sz w:val="26"/>
          <w:szCs w:val="26"/>
        </w:rPr>
        <w:t>Ibid</w:t>
      </w:r>
      <w:r w:rsidR="000D7A40" w:rsidRPr="00BE10AE">
        <w:rPr>
          <w:rFonts w:ascii="Garamond" w:hAnsi="Garamond"/>
          <w:sz w:val="26"/>
          <w:szCs w:val="26"/>
        </w:rPr>
        <w:t>.)</w:t>
      </w:r>
      <w:r w:rsidR="00F5313A" w:rsidRPr="00BE10AE">
        <w:rPr>
          <w:rFonts w:ascii="Garamond" w:hAnsi="Garamond"/>
          <w:sz w:val="26"/>
          <w:szCs w:val="26"/>
        </w:rPr>
        <w:t xml:space="preserve"> But the court failed to explain why.</w:t>
      </w:r>
      <w:r w:rsidR="000D7A40" w:rsidRPr="00BE10AE">
        <w:rPr>
          <w:rFonts w:ascii="Garamond" w:hAnsi="Garamond"/>
          <w:sz w:val="26"/>
          <w:szCs w:val="26"/>
        </w:rPr>
        <w:t xml:space="preserve"> (</w:t>
      </w:r>
      <w:r w:rsidR="000D7A40" w:rsidRPr="00BE10AE">
        <w:rPr>
          <w:rFonts w:ascii="Garamond" w:hAnsi="Garamond"/>
          <w:i/>
          <w:iCs/>
          <w:sz w:val="26"/>
          <w:szCs w:val="26"/>
        </w:rPr>
        <w:t>Ibid</w:t>
      </w:r>
      <w:r w:rsidR="000D7A40" w:rsidRPr="00BE10AE">
        <w:rPr>
          <w:rFonts w:ascii="Garamond" w:hAnsi="Garamond"/>
          <w:sz w:val="26"/>
          <w:szCs w:val="26"/>
        </w:rPr>
        <w:t>.)</w:t>
      </w:r>
      <w:r w:rsidR="00F5313A" w:rsidRPr="00BE10AE">
        <w:rPr>
          <w:rFonts w:ascii="Garamond" w:hAnsi="Garamond"/>
          <w:sz w:val="26"/>
          <w:szCs w:val="26"/>
        </w:rPr>
        <w:t xml:space="preserve"> </w:t>
      </w:r>
      <w:r w:rsidR="006352AB">
        <w:rPr>
          <w:rFonts w:ascii="Garamond" w:hAnsi="Garamond"/>
          <w:sz w:val="26"/>
          <w:szCs w:val="26"/>
        </w:rPr>
        <w:t xml:space="preserve">While they could have been reasons to put a deadline on a plea deal, a fit of pique was not one of them: </w:t>
      </w:r>
      <w:r w:rsidR="002522BB">
        <w:rPr>
          <w:rFonts w:ascii="Garamond" w:hAnsi="Garamond"/>
          <w:sz w:val="26"/>
          <w:szCs w:val="26"/>
        </w:rPr>
        <w:t>accordingly, the court abused its di</w:t>
      </w:r>
      <w:r w:rsidR="00F5313A" w:rsidRPr="00BE10AE">
        <w:rPr>
          <w:rFonts w:ascii="Garamond" w:hAnsi="Garamond"/>
          <w:sz w:val="26"/>
          <w:szCs w:val="26"/>
        </w:rPr>
        <w:t>scretion</w:t>
      </w:r>
      <w:r w:rsidR="002522BB">
        <w:rPr>
          <w:rFonts w:ascii="Garamond" w:hAnsi="Garamond"/>
          <w:sz w:val="26"/>
          <w:szCs w:val="26"/>
        </w:rPr>
        <w:t xml:space="preserve"> in refusing to accept the deal</w:t>
      </w:r>
      <w:r w:rsidR="00F5313A" w:rsidRPr="00BE10AE">
        <w:rPr>
          <w:rFonts w:ascii="Garamond" w:hAnsi="Garamond"/>
          <w:sz w:val="26"/>
          <w:szCs w:val="26"/>
        </w:rPr>
        <w:t xml:space="preserve">. </w:t>
      </w:r>
      <w:r w:rsidR="00F430B9" w:rsidRPr="00BE10AE">
        <w:rPr>
          <w:rFonts w:ascii="Garamond" w:hAnsi="Garamond"/>
          <w:sz w:val="26"/>
          <w:szCs w:val="26"/>
        </w:rPr>
        <w:t>(</w:t>
      </w:r>
      <w:r w:rsidR="00F430B9" w:rsidRPr="00BE10AE">
        <w:rPr>
          <w:rFonts w:ascii="Garamond" w:hAnsi="Garamond"/>
          <w:i/>
          <w:iCs/>
          <w:sz w:val="26"/>
          <w:szCs w:val="26"/>
        </w:rPr>
        <w:t>Id</w:t>
      </w:r>
      <w:r w:rsidR="00F430B9" w:rsidRPr="00BE10AE">
        <w:rPr>
          <w:rFonts w:ascii="Garamond" w:hAnsi="Garamond"/>
          <w:sz w:val="26"/>
          <w:szCs w:val="26"/>
        </w:rPr>
        <w:t>. at p. 936.)</w:t>
      </w:r>
    </w:p>
    <w:p w14:paraId="4C29149B" w14:textId="754C849C" w:rsidR="004D52D6" w:rsidRPr="00BE10AE" w:rsidRDefault="004D52D6" w:rsidP="003D3BE9">
      <w:pPr>
        <w:spacing w:line="360" w:lineRule="auto"/>
        <w:ind w:firstLine="360"/>
        <w:contextualSpacing/>
        <w:rPr>
          <w:rFonts w:ascii="Garamond" w:hAnsi="Garamond"/>
          <w:sz w:val="26"/>
          <w:szCs w:val="26"/>
        </w:rPr>
      </w:pPr>
      <w:r w:rsidRPr="00BE10AE">
        <w:rPr>
          <w:rFonts w:ascii="Garamond" w:hAnsi="Garamond"/>
          <w:sz w:val="26"/>
          <w:szCs w:val="26"/>
        </w:rPr>
        <w:t xml:space="preserve">Could a court </w:t>
      </w:r>
      <w:r w:rsidR="0033776A" w:rsidRPr="00BE10AE">
        <w:rPr>
          <w:rFonts w:ascii="Garamond" w:hAnsi="Garamond"/>
          <w:sz w:val="26"/>
          <w:szCs w:val="26"/>
        </w:rPr>
        <w:t>reject a plea that did not require</w:t>
      </w:r>
      <w:r w:rsidRPr="00BE10AE">
        <w:rPr>
          <w:rFonts w:ascii="Garamond" w:hAnsi="Garamond"/>
          <w:sz w:val="26"/>
          <w:szCs w:val="26"/>
        </w:rPr>
        <w:t xml:space="preserve"> a return provision? Probably. As noted above, </w:t>
      </w:r>
      <w:r w:rsidR="00C17924" w:rsidRPr="00BE10AE">
        <w:rPr>
          <w:rFonts w:ascii="Garamond" w:hAnsi="Garamond"/>
          <w:sz w:val="26"/>
          <w:szCs w:val="26"/>
        </w:rPr>
        <w:t xml:space="preserve">appellate courts have no problem permitting bargained-for return provisions. </w:t>
      </w:r>
      <w:r w:rsidR="00F430B9" w:rsidRPr="00BE10AE">
        <w:rPr>
          <w:rFonts w:ascii="Garamond" w:hAnsi="Garamond"/>
          <w:sz w:val="26"/>
          <w:szCs w:val="26"/>
        </w:rPr>
        <w:t xml:space="preserve">(See </w:t>
      </w:r>
      <w:r w:rsidR="00F430B9" w:rsidRPr="00BE10AE">
        <w:rPr>
          <w:rFonts w:ascii="Garamond" w:hAnsi="Garamond"/>
          <w:i/>
          <w:iCs/>
          <w:sz w:val="26"/>
          <w:szCs w:val="26"/>
        </w:rPr>
        <w:t>Vargas</w:t>
      </w:r>
      <w:r w:rsidR="00F430B9" w:rsidRPr="00BE10AE">
        <w:rPr>
          <w:rFonts w:ascii="Garamond" w:hAnsi="Garamond"/>
          <w:sz w:val="26"/>
          <w:szCs w:val="26"/>
        </w:rPr>
        <w:t xml:space="preserve">, </w:t>
      </w:r>
      <w:r w:rsidR="00F430B9" w:rsidRPr="00BE10AE">
        <w:rPr>
          <w:rFonts w:ascii="Garamond" w:hAnsi="Garamond"/>
          <w:i/>
          <w:iCs/>
          <w:sz w:val="26"/>
          <w:szCs w:val="26"/>
        </w:rPr>
        <w:t>supra</w:t>
      </w:r>
      <w:r w:rsidR="00F430B9" w:rsidRPr="00BE10AE">
        <w:rPr>
          <w:rFonts w:ascii="Garamond" w:hAnsi="Garamond"/>
          <w:sz w:val="26"/>
          <w:szCs w:val="26"/>
        </w:rPr>
        <w:t xml:space="preserve">, </w:t>
      </w:r>
      <w:r w:rsidR="00F430B9" w:rsidRPr="00BE10AE">
        <w:rPr>
          <w:rFonts w:ascii="Garamond" w:hAnsi="Garamond"/>
        </w:rPr>
        <w:t xml:space="preserve">148 Cal. App. 4th 644.) </w:t>
      </w:r>
      <w:r w:rsidR="002522BB">
        <w:rPr>
          <w:rFonts w:ascii="Garamond" w:hAnsi="Garamond"/>
          <w:sz w:val="26"/>
          <w:szCs w:val="26"/>
        </w:rPr>
        <w:t>That said,</w:t>
      </w:r>
      <w:r w:rsidR="00C17924" w:rsidRPr="00BE10AE">
        <w:rPr>
          <w:rFonts w:ascii="Garamond" w:hAnsi="Garamond"/>
          <w:sz w:val="26"/>
          <w:szCs w:val="26"/>
        </w:rPr>
        <w:t xml:space="preserve"> there are limits to the grounds on which a court could reject a plea. </w:t>
      </w:r>
      <w:r w:rsidR="0033776A" w:rsidRPr="00BE10AE">
        <w:rPr>
          <w:rFonts w:ascii="Garamond" w:hAnsi="Garamond"/>
          <w:sz w:val="26"/>
          <w:szCs w:val="26"/>
        </w:rPr>
        <w:t xml:space="preserve">If you see the court adding terms unilaterally or rejecting pleas </w:t>
      </w:r>
      <w:r w:rsidR="00F1745B" w:rsidRPr="00BE10AE">
        <w:rPr>
          <w:rFonts w:ascii="Garamond" w:hAnsi="Garamond"/>
          <w:sz w:val="26"/>
          <w:szCs w:val="26"/>
        </w:rPr>
        <w:t xml:space="preserve">for flimsy reasons, you should consider litigating the issue. </w:t>
      </w:r>
    </w:p>
    <w:p w14:paraId="0EB42D47" w14:textId="62D9358B" w:rsidR="005B43C1" w:rsidRPr="00BE10AE" w:rsidRDefault="000C4C12" w:rsidP="00AB0305">
      <w:pPr>
        <w:pStyle w:val="ListParagraph"/>
        <w:keepNext/>
        <w:keepLines/>
        <w:numPr>
          <w:ilvl w:val="0"/>
          <w:numId w:val="2"/>
        </w:numPr>
        <w:spacing w:line="360" w:lineRule="auto"/>
        <w:rPr>
          <w:rFonts w:ascii="Garamond" w:hAnsi="Garamond"/>
          <w:b/>
          <w:bCs/>
          <w:sz w:val="26"/>
          <w:szCs w:val="26"/>
        </w:rPr>
      </w:pPr>
      <w:r>
        <w:rPr>
          <w:rFonts w:ascii="Garamond" w:hAnsi="Garamond"/>
          <w:b/>
          <w:bCs/>
          <w:sz w:val="26"/>
          <w:szCs w:val="26"/>
        </w:rPr>
        <w:t>Judicial coercion of the jury</w:t>
      </w:r>
    </w:p>
    <w:p w14:paraId="58A9B26B" w14:textId="32AF5B6A" w:rsidR="00243087" w:rsidRPr="00BE10AE" w:rsidRDefault="00243087" w:rsidP="00AB0305">
      <w:pPr>
        <w:keepNext/>
        <w:keepLines/>
        <w:spacing w:line="360" w:lineRule="auto"/>
        <w:ind w:firstLine="360"/>
        <w:rPr>
          <w:rFonts w:ascii="Garamond" w:hAnsi="Garamond"/>
          <w:sz w:val="26"/>
          <w:szCs w:val="26"/>
        </w:rPr>
      </w:pPr>
      <w:r w:rsidRPr="00BE10AE">
        <w:rPr>
          <w:rFonts w:ascii="Garamond" w:hAnsi="Garamond"/>
          <w:sz w:val="26"/>
          <w:szCs w:val="26"/>
        </w:rPr>
        <w:t xml:space="preserve">As noted above, judges are under tremendous pressure </w:t>
      </w:r>
      <w:r w:rsidR="00C27516" w:rsidRPr="00BE10AE">
        <w:rPr>
          <w:rFonts w:ascii="Garamond" w:hAnsi="Garamond"/>
          <w:sz w:val="26"/>
          <w:szCs w:val="26"/>
        </w:rPr>
        <w:t xml:space="preserve">to </w:t>
      </w:r>
      <w:r w:rsidR="001A527D" w:rsidRPr="00BE10AE">
        <w:rPr>
          <w:rFonts w:ascii="Garamond" w:hAnsi="Garamond"/>
          <w:sz w:val="26"/>
          <w:szCs w:val="26"/>
        </w:rPr>
        <w:t>resolve the</w:t>
      </w:r>
      <w:r w:rsidR="00C27516" w:rsidRPr="00BE10AE">
        <w:rPr>
          <w:rFonts w:ascii="Garamond" w:hAnsi="Garamond"/>
          <w:sz w:val="26"/>
          <w:szCs w:val="26"/>
        </w:rPr>
        <w:t xml:space="preserve"> cases</w:t>
      </w:r>
      <w:r w:rsidR="001A527D" w:rsidRPr="00BE10AE">
        <w:rPr>
          <w:rFonts w:ascii="Garamond" w:hAnsi="Garamond"/>
          <w:sz w:val="26"/>
          <w:szCs w:val="26"/>
        </w:rPr>
        <w:t xml:space="preserve"> before them</w:t>
      </w:r>
      <w:r w:rsidR="00C27516" w:rsidRPr="00BE10AE">
        <w:rPr>
          <w:rFonts w:ascii="Garamond" w:hAnsi="Garamond"/>
          <w:sz w:val="26"/>
          <w:szCs w:val="26"/>
        </w:rPr>
        <w:t xml:space="preserve">. </w:t>
      </w:r>
      <w:r w:rsidR="000619CB" w:rsidRPr="00BE10AE">
        <w:rPr>
          <w:rFonts w:ascii="Garamond" w:hAnsi="Garamond"/>
          <w:sz w:val="26"/>
          <w:szCs w:val="26"/>
        </w:rPr>
        <w:t xml:space="preserve">Trials </w:t>
      </w:r>
      <w:r w:rsidR="00610571" w:rsidRPr="00BE10AE">
        <w:rPr>
          <w:rFonts w:ascii="Garamond" w:hAnsi="Garamond"/>
          <w:sz w:val="26"/>
          <w:szCs w:val="26"/>
        </w:rPr>
        <w:t xml:space="preserve">take time and resources and </w:t>
      </w:r>
      <w:r w:rsidR="00BD0838" w:rsidRPr="00BE10AE">
        <w:rPr>
          <w:rFonts w:ascii="Garamond" w:hAnsi="Garamond"/>
          <w:sz w:val="26"/>
          <w:szCs w:val="26"/>
        </w:rPr>
        <w:t xml:space="preserve">can thus frustrate </w:t>
      </w:r>
      <w:r w:rsidR="00610571" w:rsidRPr="00BE10AE">
        <w:rPr>
          <w:rFonts w:ascii="Garamond" w:hAnsi="Garamond"/>
          <w:sz w:val="26"/>
          <w:szCs w:val="26"/>
        </w:rPr>
        <w:t xml:space="preserve">the efficient movement of </w:t>
      </w:r>
      <w:r w:rsidR="00575431" w:rsidRPr="00BE10AE">
        <w:rPr>
          <w:rFonts w:ascii="Garamond" w:hAnsi="Garamond"/>
          <w:sz w:val="26"/>
          <w:szCs w:val="26"/>
        </w:rPr>
        <w:t>a court’s</w:t>
      </w:r>
      <w:r w:rsidR="00610571" w:rsidRPr="00BE10AE">
        <w:rPr>
          <w:rFonts w:ascii="Garamond" w:hAnsi="Garamond"/>
          <w:sz w:val="26"/>
          <w:szCs w:val="26"/>
        </w:rPr>
        <w:t xml:space="preserve"> calendar. </w:t>
      </w:r>
      <w:r w:rsidR="00575431" w:rsidRPr="00BE10AE">
        <w:rPr>
          <w:rFonts w:ascii="Garamond" w:hAnsi="Garamond"/>
          <w:sz w:val="26"/>
          <w:szCs w:val="26"/>
        </w:rPr>
        <w:t>M</w:t>
      </w:r>
      <w:r w:rsidR="00610571" w:rsidRPr="00BE10AE">
        <w:rPr>
          <w:rFonts w:ascii="Garamond" w:hAnsi="Garamond"/>
          <w:sz w:val="26"/>
          <w:szCs w:val="26"/>
        </w:rPr>
        <w:t xml:space="preserve">istrials </w:t>
      </w:r>
      <w:r w:rsidR="00575431" w:rsidRPr="00BE10AE">
        <w:rPr>
          <w:rFonts w:ascii="Garamond" w:hAnsi="Garamond"/>
          <w:sz w:val="26"/>
          <w:szCs w:val="26"/>
        </w:rPr>
        <w:t>therefore r</w:t>
      </w:r>
      <w:r w:rsidR="00CC38D9" w:rsidRPr="00BE10AE">
        <w:rPr>
          <w:rFonts w:ascii="Garamond" w:hAnsi="Garamond"/>
          <w:sz w:val="26"/>
          <w:szCs w:val="26"/>
        </w:rPr>
        <w:t>epresent an enormous waste of resources</w:t>
      </w:r>
      <w:r w:rsidR="00EC7309" w:rsidRPr="00BE10AE">
        <w:rPr>
          <w:rFonts w:ascii="Garamond" w:hAnsi="Garamond"/>
          <w:sz w:val="26"/>
          <w:szCs w:val="26"/>
        </w:rPr>
        <w:t xml:space="preserve">—not just the waste in the </w:t>
      </w:r>
      <w:r w:rsidR="00AB0305">
        <w:rPr>
          <w:rFonts w:ascii="Garamond" w:hAnsi="Garamond"/>
          <w:sz w:val="26"/>
          <w:szCs w:val="26"/>
        </w:rPr>
        <w:t>first</w:t>
      </w:r>
      <w:r w:rsidR="00EC7309" w:rsidRPr="00BE10AE">
        <w:rPr>
          <w:rFonts w:ascii="Garamond" w:hAnsi="Garamond"/>
          <w:sz w:val="26"/>
          <w:szCs w:val="26"/>
        </w:rPr>
        <w:t xml:space="preserve"> trial but also the prospective waste of a second. S</w:t>
      </w:r>
      <w:r w:rsidR="00CC38D9" w:rsidRPr="00BE10AE">
        <w:rPr>
          <w:rFonts w:ascii="Garamond" w:hAnsi="Garamond"/>
          <w:sz w:val="26"/>
          <w:szCs w:val="26"/>
        </w:rPr>
        <w:t xml:space="preserve">o judges are under a certain amount of pressure to prevent </w:t>
      </w:r>
      <w:r w:rsidR="00162642" w:rsidRPr="00BE10AE">
        <w:rPr>
          <w:rFonts w:ascii="Garamond" w:hAnsi="Garamond"/>
          <w:sz w:val="26"/>
          <w:szCs w:val="26"/>
        </w:rPr>
        <w:t>them</w:t>
      </w:r>
      <w:r w:rsidR="008A4B1B" w:rsidRPr="00BE10AE">
        <w:rPr>
          <w:rFonts w:ascii="Garamond" w:hAnsi="Garamond"/>
          <w:sz w:val="26"/>
          <w:szCs w:val="26"/>
        </w:rPr>
        <w:t>.</w:t>
      </w:r>
      <w:r w:rsidR="00CC38D9" w:rsidRPr="00BE10AE">
        <w:rPr>
          <w:rFonts w:ascii="Garamond" w:hAnsi="Garamond"/>
          <w:sz w:val="26"/>
          <w:szCs w:val="26"/>
        </w:rPr>
        <w:t xml:space="preserve"> </w:t>
      </w:r>
      <w:r w:rsidR="00683B9A" w:rsidRPr="00BE10AE">
        <w:rPr>
          <w:rFonts w:ascii="Garamond" w:hAnsi="Garamond"/>
          <w:sz w:val="26"/>
          <w:szCs w:val="26"/>
        </w:rPr>
        <w:t>And w</w:t>
      </w:r>
      <w:r w:rsidR="00162642" w:rsidRPr="00BE10AE">
        <w:rPr>
          <w:rFonts w:ascii="Garamond" w:hAnsi="Garamond"/>
          <w:sz w:val="26"/>
          <w:szCs w:val="26"/>
        </w:rPr>
        <w:t>hile judicial efficiency is an appropriate goal for trial judges, occasionally it can lead to judicial coercion</w:t>
      </w:r>
      <w:r w:rsidR="00812D8D" w:rsidRPr="00BE10AE">
        <w:rPr>
          <w:rFonts w:ascii="Garamond" w:hAnsi="Garamond"/>
          <w:sz w:val="26"/>
          <w:szCs w:val="26"/>
        </w:rPr>
        <w:t xml:space="preserve"> of the jury, particularly when the jury comes back deadlocked. </w:t>
      </w:r>
    </w:p>
    <w:p w14:paraId="4CA597DA" w14:textId="365A4A55" w:rsidR="00CD3024" w:rsidRPr="00BE10AE" w:rsidRDefault="00F430B9" w:rsidP="00243087">
      <w:pPr>
        <w:pStyle w:val="ListParagraph"/>
        <w:numPr>
          <w:ilvl w:val="1"/>
          <w:numId w:val="2"/>
        </w:numPr>
        <w:spacing w:line="360" w:lineRule="auto"/>
        <w:rPr>
          <w:rFonts w:ascii="Garamond" w:hAnsi="Garamond"/>
          <w:b/>
          <w:bCs/>
          <w:sz w:val="26"/>
          <w:szCs w:val="26"/>
        </w:rPr>
      </w:pPr>
      <w:r w:rsidRPr="00BE10AE">
        <w:rPr>
          <w:rFonts w:ascii="Garamond" w:hAnsi="Garamond"/>
          <w:b/>
          <w:bCs/>
          <w:sz w:val="26"/>
          <w:szCs w:val="26"/>
        </w:rPr>
        <w:t>H</w:t>
      </w:r>
      <w:r w:rsidR="00243087" w:rsidRPr="00BE10AE">
        <w:rPr>
          <w:rFonts w:ascii="Garamond" w:hAnsi="Garamond"/>
          <w:b/>
          <w:bCs/>
          <w:sz w:val="26"/>
          <w:szCs w:val="26"/>
        </w:rPr>
        <w:t>ow should a judge handle holdout jurors?</w:t>
      </w:r>
    </w:p>
    <w:p w14:paraId="325CBA66" w14:textId="40DD4104" w:rsidR="00274C1B" w:rsidRPr="00BE10AE" w:rsidRDefault="00697A8F" w:rsidP="003D3BE9">
      <w:pPr>
        <w:spacing w:line="360" w:lineRule="auto"/>
        <w:ind w:firstLine="360"/>
        <w:contextualSpacing/>
        <w:rPr>
          <w:rFonts w:ascii="Garamond" w:hAnsi="Garamond"/>
          <w:sz w:val="26"/>
          <w:szCs w:val="26"/>
        </w:rPr>
      </w:pPr>
      <w:r w:rsidRPr="00BE10AE">
        <w:rPr>
          <w:rFonts w:ascii="Garamond" w:hAnsi="Garamond"/>
          <w:sz w:val="26"/>
          <w:szCs w:val="26"/>
        </w:rPr>
        <w:t>Imagine</w:t>
      </w:r>
      <w:r w:rsidR="00AD0784" w:rsidRPr="00BE10AE">
        <w:rPr>
          <w:rFonts w:ascii="Garamond" w:hAnsi="Garamond"/>
          <w:sz w:val="26"/>
          <w:szCs w:val="26"/>
        </w:rPr>
        <w:t xml:space="preserve"> this</w:t>
      </w:r>
      <w:r w:rsidR="0027404F" w:rsidRPr="00BE10AE">
        <w:rPr>
          <w:rFonts w:ascii="Garamond" w:hAnsi="Garamond"/>
          <w:sz w:val="26"/>
          <w:szCs w:val="26"/>
        </w:rPr>
        <w:t xml:space="preserve"> scenario: </w:t>
      </w:r>
      <w:r w:rsidR="00314D96" w:rsidRPr="00BE10AE">
        <w:rPr>
          <w:rFonts w:ascii="Garamond" w:hAnsi="Garamond"/>
          <w:sz w:val="26"/>
          <w:szCs w:val="26"/>
        </w:rPr>
        <w:t xml:space="preserve">in the trial court, </w:t>
      </w:r>
      <w:r w:rsidR="008A4B1B" w:rsidRPr="00BE10AE">
        <w:rPr>
          <w:rFonts w:ascii="Garamond" w:hAnsi="Garamond"/>
          <w:sz w:val="26"/>
          <w:szCs w:val="26"/>
        </w:rPr>
        <w:t xml:space="preserve">your </w:t>
      </w:r>
      <w:r w:rsidR="00AD005F" w:rsidRPr="00BE10AE">
        <w:rPr>
          <w:rFonts w:ascii="Garamond" w:hAnsi="Garamond"/>
          <w:sz w:val="26"/>
          <w:szCs w:val="26"/>
        </w:rPr>
        <w:t xml:space="preserve">client </w:t>
      </w:r>
      <w:r w:rsidR="002233E2" w:rsidRPr="00BE10AE">
        <w:rPr>
          <w:rFonts w:ascii="Garamond" w:hAnsi="Garamond"/>
          <w:sz w:val="26"/>
          <w:szCs w:val="26"/>
        </w:rPr>
        <w:t>was</w:t>
      </w:r>
      <w:r w:rsidR="00AD005F" w:rsidRPr="00BE10AE">
        <w:rPr>
          <w:rFonts w:ascii="Garamond" w:hAnsi="Garamond"/>
          <w:sz w:val="26"/>
          <w:szCs w:val="26"/>
        </w:rPr>
        <w:t xml:space="preserve"> facing a</w:t>
      </w:r>
      <w:r w:rsidR="005B0006" w:rsidRPr="00BE10AE">
        <w:rPr>
          <w:rFonts w:ascii="Garamond" w:hAnsi="Garamond"/>
          <w:sz w:val="26"/>
          <w:szCs w:val="26"/>
        </w:rPr>
        <w:t xml:space="preserve">n indecent exposure </w:t>
      </w:r>
      <w:r w:rsidR="001F3802" w:rsidRPr="00BE10AE">
        <w:rPr>
          <w:rFonts w:ascii="Garamond" w:hAnsi="Garamond"/>
          <w:sz w:val="26"/>
          <w:szCs w:val="26"/>
        </w:rPr>
        <w:t>charge</w:t>
      </w:r>
      <w:r w:rsidR="008E2B17" w:rsidRPr="00BE10AE">
        <w:rPr>
          <w:rFonts w:ascii="Garamond" w:hAnsi="Garamond"/>
          <w:sz w:val="26"/>
          <w:szCs w:val="26"/>
        </w:rPr>
        <w:t xml:space="preserve"> under Penal Code section 314</w:t>
      </w:r>
      <w:r w:rsidR="001F3802" w:rsidRPr="00BE10AE">
        <w:rPr>
          <w:rFonts w:ascii="Garamond" w:hAnsi="Garamond"/>
          <w:sz w:val="26"/>
          <w:szCs w:val="26"/>
        </w:rPr>
        <w:t xml:space="preserve">. </w:t>
      </w:r>
      <w:r w:rsidR="001C45B7" w:rsidRPr="00BE10AE">
        <w:rPr>
          <w:rFonts w:ascii="Garamond" w:hAnsi="Garamond"/>
          <w:sz w:val="26"/>
          <w:szCs w:val="26"/>
        </w:rPr>
        <w:t>Unfortunately, your client</w:t>
      </w:r>
      <w:r w:rsidR="00A469F8" w:rsidRPr="00BE10AE">
        <w:rPr>
          <w:rFonts w:ascii="Garamond" w:hAnsi="Garamond"/>
          <w:sz w:val="26"/>
          <w:szCs w:val="26"/>
        </w:rPr>
        <w:t xml:space="preserve"> </w:t>
      </w:r>
      <w:r w:rsidR="00E72F9B" w:rsidRPr="00BE10AE">
        <w:rPr>
          <w:rFonts w:ascii="Garamond" w:hAnsi="Garamond"/>
          <w:sz w:val="26"/>
          <w:szCs w:val="26"/>
        </w:rPr>
        <w:t xml:space="preserve">already </w:t>
      </w:r>
      <w:r w:rsidR="00AD0784" w:rsidRPr="00BE10AE">
        <w:rPr>
          <w:rFonts w:ascii="Garamond" w:hAnsi="Garamond"/>
          <w:sz w:val="26"/>
          <w:szCs w:val="26"/>
        </w:rPr>
        <w:t>had</w:t>
      </w:r>
      <w:r w:rsidR="00A469F8" w:rsidRPr="00BE10AE">
        <w:rPr>
          <w:rFonts w:ascii="Garamond" w:hAnsi="Garamond"/>
          <w:sz w:val="26"/>
          <w:szCs w:val="26"/>
        </w:rPr>
        <w:t xml:space="preserve"> two strikes</w:t>
      </w:r>
      <w:r w:rsidR="00E72F9B" w:rsidRPr="00BE10AE">
        <w:rPr>
          <w:rFonts w:ascii="Garamond" w:hAnsi="Garamond"/>
          <w:sz w:val="26"/>
          <w:szCs w:val="26"/>
        </w:rPr>
        <w:t xml:space="preserve"> under his belt</w:t>
      </w:r>
      <w:r w:rsidR="00A469F8" w:rsidRPr="00BE10AE">
        <w:rPr>
          <w:rFonts w:ascii="Garamond" w:hAnsi="Garamond"/>
          <w:sz w:val="26"/>
          <w:szCs w:val="26"/>
        </w:rPr>
        <w:t xml:space="preserve">, </w:t>
      </w:r>
      <w:r w:rsidR="00353156" w:rsidRPr="00BE10AE">
        <w:rPr>
          <w:rFonts w:ascii="Garamond" w:hAnsi="Garamond"/>
          <w:sz w:val="26"/>
          <w:szCs w:val="26"/>
        </w:rPr>
        <w:t>both of which were for violations</w:t>
      </w:r>
      <w:r w:rsidR="008E2B17" w:rsidRPr="00BE10AE">
        <w:rPr>
          <w:rFonts w:ascii="Garamond" w:hAnsi="Garamond"/>
          <w:sz w:val="26"/>
          <w:szCs w:val="26"/>
        </w:rPr>
        <w:t xml:space="preserve"> of Penal Code section </w:t>
      </w:r>
      <w:r w:rsidR="006752BB" w:rsidRPr="00BE10AE">
        <w:rPr>
          <w:rFonts w:ascii="Garamond" w:hAnsi="Garamond"/>
          <w:sz w:val="26"/>
          <w:szCs w:val="26"/>
        </w:rPr>
        <w:t>288</w:t>
      </w:r>
      <w:r w:rsidR="00216260" w:rsidRPr="00BE10AE">
        <w:rPr>
          <w:rFonts w:ascii="Garamond" w:hAnsi="Garamond"/>
          <w:sz w:val="26"/>
          <w:szCs w:val="26"/>
        </w:rPr>
        <w:t xml:space="preserve">, </w:t>
      </w:r>
      <w:r w:rsidR="008C6BA0" w:rsidRPr="00BE10AE">
        <w:rPr>
          <w:rFonts w:ascii="Garamond" w:hAnsi="Garamond"/>
          <w:sz w:val="26"/>
          <w:szCs w:val="26"/>
        </w:rPr>
        <w:t>which meant</w:t>
      </w:r>
      <w:r w:rsidR="00216260" w:rsidRPr="00BE10AE">
        <w:rPr>
          <w:rFonts w:ascii="Garamond" w:hAnsi="Garamond"/>
          <w:sz w:val="26"/>
          <w:szCs w:val="26"/>
        </w:rPr>
        <w:t xml:space="preserve"> your client</w:t>
      </w:r>
      <w:r w:rsidR="008C6BA0" w:rsidRPr="00BE10AE">
        <w:rPr>
          <w:rFonts w:ascii="Garamond" w:hAnsi="Garamond"/>
          <w:sz w:val="26"/>
          <w:szCs w:val="26"/>
        </w:rPr>
        <w:t xml:space="preserve"> was</w:t>
      </w:r>
      <w:r w:rsidR="00216260" w:rsidRPr="00BE10AE">
        <w:rPr>
          <w:rFonts w:ascii="Garamond" w:hAnsi="Garamond"/>
          <w:sz w:val="26"/>
          <w:szCs w:val="26"/>
        </w:rPr>
        <w:t xml:space="preserve"> </w:t>
      </w:r>
      <w:r w:rsidR="00050005" w:rsidRPr="00BE10AE">
        <w:rPr>
          <w:rFonts w:ascii="Garamond" w:hAnsi="Garamond"/>
          <w:sz w:val="26"/>
          <w:szCs w:val="26"/>
        </w:rPr>
        <w:t xml:space="preserve">a 290 registrant. </w:t>
      </w:r>
      <w:r w:rsidR="008C6BA0" w:rsidRPr="00BE10AE">
        <w:rPr>
          <w:rFonts w:ascii="Garamond" w:hAnsi="Garamond"/>
          <w:sz w:val="26"/>
          <w:szCs w:val="26"/>
        </w:rPr>
        <w:t>It also meant that</w:t>
      </w:r>
      <w:r w:rsidR="000177CA" w:rsidRPr="00BE10AE">
        <w:rPr>
          <w:rFonts w:ascii="Garamond" w:hAnsi="Garamond"/>
          <w:sz w:val="26"/>
          <w:szCs w:val="26"/>
        </w:rPr>
        <w:t>,</w:t>
      </w:r>
      <w:r w:rsidR="001924A4" w:rsidRPr="00BE10AE">
        <w:rPr>
          <w:rFonts w:ascii="Garamond" w:hAnsi="Garamond"/>
          <w:sz w:val="26"/>
          <w:szCs w:val="26"/>
        </w:rPr>
        <w:t xml:space="preserve"> for your client, the </w:t>
      </w:r>
      <w:r w:rsidR="005B0006" w:rsidRPr="00BE10AE">
        <w:rPr>
          <w:rFonts w:ascii="Garamond" w:hAnsi="Garamond"/>
          <w:sz w:val="26"/>
          <w:szCs w:val="26"/>
        </w:rPr>
        <w:t>indecent exposure</w:t>
      </w:r>
      <w:r w:rsidR="001924A4" w:rsidRPr="00BE10AE">
        <w:rPr>
          <w:rFonts w:ascii="Garamond" w:hAnsi="Garamond"/>
          <w:sz w:val="26"/>
          <w:szCs w:val="26"/>
        </w:rPr>
        <w:t xml:space="preserve"> charge</w:t>
      </w:r>
      <w:r w:rsidR="000177CA" w:rsidRPr="00BE10AE">
        <w:rPr>
          <w:rFonts w:ascii="Garamond" w:hAnsi="Garamond"/>
          <w:sz w:val="26"/>
          <w:szCs w:val="26"/>
        </w:rPr>
        <w:t xml:space="preserve"> that </w:t>
      </w:r>
      <w:r w:rsidR="001924A4" w:rsidRPr="00BE10AE">
        <w:rPr>
          <w:rFonts w:ascii="Garamond" w:hAnsi="Garamond"/>
          <w:sz w:val="26"/>
          <w:szCs w:val="26"/>
        </w:rPr>
        <w:t xml:space="preserve">ordinarily </w:t>
      </w:r>
      <w:r w:rsidR="000177CA" w:rsidRPr="00BE10AE">
        <w:rPr>
          <w:rFonts w:ascii="Garamond" w:hAnsi="Garamond"/>
          <w:sz w:val="26"/>
          <w:szCs w:val="26"/>
        </w:rPr>
        <w:t xml:space="preserve">would </w:t>
      </w:r>
      <w:r w:rsidR="008C6BA0" w:rsidRPr="00BE10AE">
        <w:rPr>
          <w:rFonts w:ascii="Garamond" w:hAnsi="Garamond"/>
          <w:sz w:val="26"/>
          <w:szCs w:val="26"/>
        </w:rPr>
        <w:t>have been</w:t>
      </w:r>
      <w:r w:rsidR="00E72F9B" w:rsidRPr="00BE10AE">
        <w:rPr>
          <w:rFonts w:ascii="Garamond" w:hAnsi="Garamond"/>
          <w:sz w:val="26"/>
          <w:szCs w:val="26"/>
        </w:rPr>
        <w:t xml:space="preserve"> </w:t>
      </w:r>
      <w:r w:rsidR="001924A4" w:rsidRPr="00BE10AE">
        <w:rPr>
          <w:rFonts w:ascii="Garamond" w:hAnsi="Garamond"/>
          <w:sz w:val="26"/>
          <w:szCs w:val="26"/>
        </w:rPr>
        <w:t>a misdemeanor</w:t>
      </w:r>
      <w:r w:rsidR="000177CA" w:rsidRPr="00BE10AE">
        <w:rPr>
          <w:rFonts w:ascii="Garamond" w:hAnsi="Garamond"/>
          <w:sz w:val="26"/>
          <w:szCs w:val="26"/>
        </w:rPr>
        <w:t xml:space="preserve"> </w:t>
      </w:r>
      <w:r w:rsidR="008C6BA0" w:rsidRPr="00BE10AE">
        <w:rPr>
          <w:rFonts w:ascii="Garamond" w:hAnsi="Garamond"/>
          <w:sz w:val="26"/>
          <w:szCs w:val="26"/>
        </w:rPr>
        <w:t>was</w:t>
      </w:r>
      <w:r w:rsidR="00314D96" w:rsidRPr="00BE10AE">
        <w:rPr>
          <w:rFonts w:ascii="Garamond" w:hAnsi="Garamond"/>
          <w:sz w:val="26"/>
          <w:szCs w:val="26"/>
        </w:rPr>
        <w:t xml:space="preserve"> </w:t>
      </w:r>
      <w:r w:rsidR="000177CA" w:rsidRPr="00BE10AE">
        <w:rPr>
          <w:rFonts w:ascii="Garamond" w:hAnsi="Garamond"/>
          <w:sz w:val="26"/>
          <w:szCs w:val="26"/>
        </w:rPr>
        <w:t xml:space="preserve">instead </w:t>
      </w:r>
      <w:r w:rsidR="008C6BA0" w:rsidRPr="00BE10AE">
        <w:rPr>
          <w:rFonts w:ascii="Garamond" w:hAnsi="Garamond"/>
          <w:sz w:val="26"/>
          <w:szCs w:val="26"/>
        </w:rPr>
        <w:t>charged as</w:t>
      </w:r>
      <w:r w:rsidR="00E72F9B" w:rsidRPr="00BE10AE">
        <w:rPr>
          <w:rFonts w:ascii="Garamond" w:hAnsi="Garamond"/>
          <w:sz w:val="26"/>
          <w:szCs w:val="26"/>
        </w:rPr>
        <w:t xml:space="preserve"> </w:t>
      </w:r>
      <w:r w:rsidR="00314D96" w:rsidRPr="00BE10AE">
        <w:rPr>
          <w:rFonts w:ascii="Garamond" w:hAnsi="Garamond"/>
          <w:sz w:val="26"/>
          <w:szCs w:val="26"/>
        </w:rPr>
        <w:t>a felony</w:t>
      </w:r>
      <w:r w:rsidR="00E72F9B" w:rsidRPr="00BE10AE">
        <w:rPr>
          <w:rFonts w:ascii="Garamond" w:hAnsi="Garamond"/>
          <w:sz w:val="26"/>
          <w:szCs w:val="26"/>
        </w:rPr>
        <w:t>. A</w:t>
      </w:r>
      <w:r w:rsidR="00314D96" w:rsidRPr="00BE10AE">
        <w:rPr>
          <w:rFonts w:ascii="Garamond" w:hAnsi="Garamond"/>
          <w:sz w:val="26"/>
          <w:szCs w:val="26"/>
        </w:rPr>
        <w:t>nd because</w:t>
      </w:r>
      <w:r w:rsidR="00DB568F" w:rsidRPr="00BE10AE">
        <w:rPr>
          <w:rFonts w:ascii="Garamond" w:hAnsi="Garamond"/>
          <w:sz w:val="26"/>
          <w:szCs w:val="26"/>
        </w:rPr>
        <w:t xml:space="preserve"> your client </w:t>
      </w:r>
      <w:r w:rsidR="00C824E0" w:rsidRPr="00BE10AE">
        <w:rPr>
          <w:rFonts w:ascii="Garamond" w:hAnsi="Garamond"/>
          <w:sz w:val="26"/>
          <w:szCs w:val="26"/>
        </w:rPr>
        <w:t>was</w:t>
      </w:r>
      <w:r w:rsidR="00DB568F" w:rsidRPr="00BE10AE">
        <w:rPr>
          <w:rFonts w:ascii="Garamond" w:hAnsi="Garamond"/>
          <w:sz w:val="26"/>
          <w:szCs w:val="26"/>
        </w:rPr>
        <w:t xml:space="preserve"> a 290 registrant with two </w:t>
      </w:r>
      <w:r w:rsidR="00C17924" w:rsidRPr="00BE10AE">
        <w:rPr>
          <w:rFonts w:ascii="Garamond" w:hAnsi="Garamond"/>
          <w:sz w:val="26"/>
          <w:szCs w:val="26"/>
        </w:rPr>
        <w:t xml:space="preserve">prior </w:t>
      </w:r>
      <w:r w:rsidR="00DB568F" w:rsidRPr="00BE10AE">
        <w:rPr>
          <w:rFonts w:ascii="Garamond" w:hAnsi="Garamond"/>
          <w:sz w:val="26"/>
          <w:szCs w:val="26"/>
        </w:rPr>
        <w:t>strikes, it</w:t>
      </w:r>
      <w:r w:rsidR="00C824E0" w:rsidRPr="00BE10AE">
        <w:rPr>
          <w:rFonts w:ascii="Garamond" w:hAnsi="Garamond"/>
          <w:sz w:val="26"/>
          <w:szCs w:val="26"/>
        </w:rPr>
        <w:t xml:space="preserve"> was </w:t>
      </w:r>
      <w:r w:rsidR="00050005" w:rsidRPr="00BE10AE">
        <w:rPr>
          <w:rFonts w:ascii="Garamond" w:hAnsi="Garamond"/>
          <w:sz w:val="26"/>
          <w:szCs w:val="26"/>
        </w:rPr>
        <w:t>a third</w:t>
      </w:r>
      <w:r w:rsidR="00A27324" w:rsidRPr="00BE10AE">
        <w:rPr>
          <w:rFonts w:ascii="Garamond" w:hAnsi="Garamond"/>
          <w:sz w:val="26"/>
          <w:szCs w:val="26"/>
        </w:rPr>
        <w:t>-</w:t>
      </w:r>
      <w:r w:rsidR="00050005" w:rsidRPr="00BE10AE">
        <w:rPr>
          <w:rFonts w:ascii="Garamond" w:hAnsi="Garamond"/>
          <w:sz w:val="26"/>
          <w:szCs w:val="26"/>
        </w:rPr>
        <w:t>strike</w:t>
      </w:r>
      <w:r w:rsidR="00A27324" w:rsidRPr="00BE10AE">
        <w:rPr>
          <w:rFonts w:ascii="Garamond" w:hAnsi="Garamond"/>
          <w:sz w:val="26"/>
          <w:szCs w:val="26"/>
        </w:rPr>
        <w:t xml:space="preserve"> felony</w:t>
      </w:r>
      <w:r w:rsidR="00C7334B" w:rsidRPr="00BE10AE">
        <w:rPr>
          <w:rFonts w:ascii="Garamond" w:hAnsi="Garamond"/>
          <w:sz w:val="26"/>
          <w:szCs w:val="26"/>
        </w:rPr>
        <w:t>, meaning y</w:t>
      </w:r>
      <w:r w:rsidR="00050005" w:rsidRPr="00BE10AE">
        <w:rPr>
          <w:rFonts w:ascii="Garamond" w:hAnsi="Garamond"/>
          <w:sz w:val="26"/>
          <w:szCs w:val="26"/>
        </w:rPr>
        <w:t xml:space="preserve">our client </w:t>
      </w:r>
      <w:r w:rsidR="00C824E0" w:rsidRPr="00BE10AE">
        <w:rPr>
          <w:rFonts w:ascii="Garamond" w:hAnsi="Garamond"/>
          <w:sz w:val="26"/>
          <w:szCs w:val="26"/>
        </w:rPr>
        <w:t>was</w:t>
      </w:r>
      <w:r w:rsidR="00050005" w:rsidRPr="00BE10AE">
        <w:rPr>
          <w:rFonts w:ascii="Garamond" w:hAnsi="Garamond"/>
          <w:sz w:val="26"/>
          <w:szCs w:val="26"/>
        </w:rPr>
        <w:t xml:space="preserve"> facing 25 to life</w:t>
      </w:r>
      <w:r w:rsidR="006752BB" w:rsidRPr="00BE10AE">
        <w:rPr>
          <w:rFonts w:ascii="Garamond" w:hAnsi="Garamond"/>
          <w:sz w:val="26"/>
          <w:szCs w:val="26"/>
        </w:rPr>
        <w:t xml:space="preserve">. </w:t>
      </w:r>
    </w:p>
    <w:p w14:paraId="086975C1" w14:textId="65327EA7" w:rsidR="0027404F" w:rsidRPr="00BE10AE" w:rsidRDefault="00077817" w:rsidP="00DB5687">
      <w:pPr>
        <w:spacing w:line="360" w:lineRule="auto"/>
        <w:ind w:firstLine="360"/>
        <w:contextualSpacing/>
        <w:rPr>
          <w:rFonts w:ascii="Garamond" w:hAnsi="Garamond"/>
          <w:sz w:val="26"/>
          <w:szCs w:val="26"/>
        </w:rPr>
      </w:pPr>
      <w:r>
        <w:rPr>
          <w:rFonts w:ascii="Garamond" w:hAnsi="Garamond"/>
          <w:sz w:val="26"/>
          <w:szCs w:val="26"/>
        </w:rPr>
        <w:t xml:space="preserve">At trial, the evidence </w:t>
      </w:r>
      <w:r w:rsidR="00C824E0" w:rsidRPr="00BE10AE">
        <w:rPr>
          <w:rFonts w:ascii="Garamond" w:hAnsi="Garamond"/>
          <w:sz w:val="26"/>
          <w:szCs w:val="26"/>
        </w:rPr>
        <w:t>was</w:t>
      </w:r>
      <w:r w:rsidR="002233E2" w:rsidRPr="00BE10AE">
        <w:rPr>
          <w:rFonts w:ascii="Garamond" w:hAnsi="Garamond"/>
          <w:sz w:val="26"/>
          <w:szCs w:val="26"/>
        </w:rPr>
        <w:t xml:space="preserve"> that your </w:t>
      </w:r>
      <w:r w:rsidR="00FE3C06" w:rsidRPr="00BE10AE">
        <w:rPr>
          <w:rFonts w:ascii="Garamond" w:hAnsi="Garamond"/>
          <w:sz w:val="26"/>
          <w:szCs w:val="26"/>
        </w:rPr>
        <w:t xml:space="preserve">client </w:t>
      </w:r>
      <w:r w:rsidR="002233E2" w:rsidRPr="00BE10AE">
        <w:rPr>
          <w:rFonts w:ascii="Garamond" w:hAnsi="Garamond"/>
          <w:sz w:val="26"/>
          <w:szCs w:val="26"/>
        </w:rPr>
        <w:t>was sitting</w:t>
      </w:r>
      <w:r w:rsidR="001F3802" w:rsidRPr="00BE10AE">
        <w:rPr>
          <w:rFonts w:ascii="Garamond" w:hAnsi="Garamond"/>
          <w:sz w:val="26"/>
          <w:szCs w:val="26"/>
        </w:rPr>
        <w:t xml:space="preserve"> in his van near a playground masturbating</w:t>
      </w:r>
      <w:r w:rsidR="00A469F8" w:rsidRPr="00BE10AE">
        <w:rPr>
          <w:rFonts w:ascii="Garamond" w:hAnsi="Garamond"/>
          <w:sz w:val="26"/>
          <w:szCs w:val="26"/>
        </w:rPr>
        <w:t xml:space="preserve">. </w:t>
      </w:r>
      <w:r w:rsidR="006752BB" w:rsidRPr="00BE10AE">
        <w:rPr>
          <w:rFonts w:ascii="Garamond" w:hAnsi="Garamond"/>
          <w:sz w:val="26"/>
          <w:szCs w:val="26"/>
        </w:rPr>
        <w:t>Defense counsel argue</w:t>
      </w:r>
      <w:r w:rsidR="00C824E0" w:rsidRPr="00BE10AE">
        <w:rPr>
          <w:rFonts w:ascii="Garamond" w:hAnsi="Garamond"/>
          <w:sz w:val="26"/>
          <w:szCs w:val="26"/>
        </w:rPr>
        <w:t>d</w:t>
      </w:r>
      <w:r w:rsidR="00A469F8" w:rsidRPr="00BE10AE">
        <w:rPr>
          <w:rFonts w:ascii="Garamond" w:hAnsi="Garamond"/>
          <w:sz w:val="26"/>
          <w:szCs w:val="26"/>
        </w:rPr>
        <w:t xml:space="preserve"> alibi</w:t>
      </w:r>
      <w:r w:rsidR="00C824E0" w:rsidRPr="00BE10AE">
        <w:rPr>
          <w:rFonts w:ascii="Garamond" w:hAnsi="Garamond"/>
          <w:sz w:val="26"/>
          <w:szCs w:val="26"/>
        </w:rPr>
        <w:t xml:space="preserve">, </w:t>
      </w:r>
      <w:r w:rsidR="006752BB" w:rsidRPr="00BE10AE">
        <w:rPr>
          <w:rFonts w:ascii="Garamond" w:hAnsi="Garamond"/>
          <w:sz w:val="26"/>
          <w:szCs w:val="26"/>
        </w:rPr>
        <w:t xml:space="preserve">a regrettable choice given </w:t>
      </w:r>
      <w:r w:rsidR="00513B69" w:rsidRPr="00BE10AE">
        <w:rPr>
          <w:rFonts w:ascii="Garamond" w:hAnsi="Garamond"/>
          <w:sz w:val="26"/>
          <w:szCs w:val="26"/>
        </w:rPr>
        <w:t xml:space="preserve">the GPS evidence and </w:t>
      </w:r>
      <w:r w:rsidR="006752BB" w:rsidRPr="00BE10AE">
        <w:rPr>
          <w:rFonts w:ascii="Garamond" w:hAnsi="Garamond"/>
          <w:sz w:val="26"/>
          <w:szCs w:val="26"/>
        </w:rPr>
        <w:t>the two civilian witnesses who</w:t>
      </w:r>
      <w:r w:rsidR="00FE3C06" w:rsidRPr="00BE10AE">
        <w:rPr>
          <w:rFonts w:ascii="Garamond" w:hAnsi="Garamond"/>
          <w:sz w:val="26"/>
          <w:szCs w:val="26"/>
        </w:rPr>
        <w:t xml:space="preserve"> said they</w:t>
      </w:r>
      <w:r w:rsidR="006752BB" w:rsidRPr="00BE10AE">
        <w:rPr>
          <w:rFonts w:ascii="Garamond" w:hAnsi="Garamond"/>
          <w:sz w:val="26"/>
          <w:szCs w:val="26"/>
        </w:rPr>
        <w:t xml:space="preserve"> </w:t>
      </w:r>
      <w:r w:rsidR="009771B6" w:rsidRPr="00BE10AE">
        <w:rPr>
          <w:rFonts w:ascii="Garamond" w:hAnsi="Garamond"/>
          <w:sz w:val="26"/>
          <w:szCs w:val="26"/>
        </w:rPr>
        <w:t>s</w:t>
      </w:r>
      <w:r w:rsidR="003247F2" w:rsidRPr="00BE10AE">
        <w:rPr>
          <w:rFonts w:ascii="Garamond" w:hAnsi="Garamond"/>
          <w:sz w:val="26"/>
          <w:szCs w:val="26"/>
        </w:rPr>
        <w:t>aw</w:t>
      </w:r>
      <w:r w:rsidR="009771B6" w:rsidRPr="00BE10AE">
        <w:rPr>
          <w:rFonts w:ascii="Garamond" w:hAnsi="Garamond"/>
          <w:sz w:val="26"/>
          <w:szCs w:val="26"/>
        </w:rPr>
        <w:t xml:space="preserve"> your client</w:t>
      </w:r>
      <w:r w:rsidR="003247F2" w:rsidRPr="00BE10AE">
        <w:rPr>
          <w:rFonts w:ascii="Garamond" w:hAnsi="Garamond"/>
          <w:sz w:val="26"/>
          <w:szCs w:val="26"/>
        </w:rPr>
        <w:t xml:space="preserve"> in the van</w:t>
      </w:r>
      <w:r w:rsidR="00A973A0" w:rsidRPr="00BE10AE">
        <w:rPr>
          <w:rFonts w:ascii="Garamond" w:hAnsi="Garamond"/>
          <w:sz w:val="26"/>
          <w:szCs w:val="26"/>
        </w:rPr>
        <w:t xml:space="preserve">, </w:t>
      </w:r>
      <w:r w:rsidR="003247F2" w:rsidRPr="00BE10AE">
        <w:rPr>
          <w:rFonts w:ascii="Garamond" w:hAnsi="Garamond"/>
          <w:sz w:val="26"/>
          <w:szCs w:val="26"/>
        </w:rPr>
        <w:t xml:space="preserve">near the </w:t>
      </w:r>
      <w:r w:rsidR="00FE3C06" w:rsidRPr="00BE10AE">
        <w:rPr>
          <w:rFonts w:ascii="Garamond" w:hAnsi="Garamond"/>
          <w:sz w:val="26"/>
          <w:szCs w:val="26"/>
        </w:rPr>
        <w:t>playground</w:t>
      </w:r>
      <w:r w:rsidR="00A973A0" w:rsidRPr="00BE10AE">
        <w:rPr>
          <w:rFonts w:ascii="Garamond" w:hAnsi="Garamond"/>
          <w:sz w:val="26"/>
          <w:szCs w:val="26"/>
        </w:rPr>
        <w:t xml:space="preserve">, </w:t>
      </w:r>
      <w:r w:rsidR="003247F2" w:rsidRPr="00BE10AE">
        <w:rPr>
          <w:rFonts w:ascii="Garamond" w:hAnsi="Garamond"/>
          <w:sz w:val="26"/>
          <w:szCs w:val="26"/>
        </w:rPr>
        <w:t xml:space="preserve">and </w:t>
      </w:r>
      <w:r w:rsidR="009771B6" w:rsidRPr="00BE10AE">
        <w:rPr>
          <w:rFonts w:ascii="Garamond" w:hAnsi="Garamond"/>
          <w:sz w:val="26"/>
          <w:szCs w:val="26"/>
        </w:rPr>
        <w:t>without a doubt</w:t>
      </w:r>
      <w:r w:rsidR="006752BB" w:rsidRPr="00BE10AE">
        <w:rPr>
          <w:rFonts w:ascii="Garamond" w:hAnsi="Garamond"/>
          <w:sz w:val="26"/>
          <w:szCs w:val="26"/>
        </w:rPr>
        <w:t xml:space="preserve"> </w:t>
      </w:r>
      <w:r w:rsidR="00F12887" w:rsidRPr="00BE10AE">
        <w:rPr>
          <w:rFonts w:ascii="Garamond" w:hAnsi="Garamond"/>
          <w:sz w:val="26"/>
          <w:szCs w:val="26"/>
        </w:rPr>
        <w:t xml:space="preserve">masturbating. </w:t>
      </w:r>
      <w:r w:rsidR="00A973A0" w:rsidRPr="00BE10AE">
        <w:rPr>
          <w:rFonts w:ascii="Garamond" w:hAnsi="Garamond"/>
          <w:sz w:val="26"/>
          <w:szCs w:val="26"/>
        </w:rPr>
        <w:t xml:space="preserve">Fortunately, however, </w:t>
      </w:r>
      <w:r w:rsidR="00A469F8" w:rsidRPr="00BE10AE">
        <w:rPr>
          <w:rFonts w:ascii="Garamond" w:hAnsi="Garamond"/>
          <w:sz w:val="26"/>
          <w:szCs w:val="26"/>
        </w:rPr>
        <w:t xml:space="preserve">one </w:t>
      </w:r>
      <w:r w:rsidR="00A973A0" w:rsidRPr="00BE10AE">
        <w:rPr>
          <w:rFonts w:ascii="Garamond" w:hAnsi="Garamond"/>
          <w:sz w:val="26"/>
          <w:szCs w:val="26"/>
        </w:rPr>
        <w:t>astute</w:t>
      </w:r>
      <w:r w:rsidR="00A469F8" w:rsidRPr="00BE10AE">
        <w:rPr>
          <w:rFonts w:ascii="Garamond" w:hAnsi="Garamond"/>
          <w:sz w:val="26"/>
          <w:szCs w:val="26"/>
        </w:rPr>
        <w:t xml:space="preserve"> juror spotted the real issue</w:t>
      </w:r>
      <w:r w:rsidR="00A973A0" w:rsidRPr="00BE10AE">
        <w:rPr>
          <w:rFonts w:ascii="Garamond" w:hAnsi="Garamond"/>
          <w:sz w:val="26"/>
          <w:szCs w:val="26"/>
        </w:rPr>
        <w:t xml:space="preserve"> in the case</w:t>
      </w:r>
      <w:r w:rsidR="00A27324" w:rsidRPr="00BE10AE">
        <w:rPr>
          <w:rFonts w:ascii="Garamond" w:hAnsi="Garamond"/>
          <w:sz w:val="26"/>
          <w:szCs w:val="26"/>
        </w:rPr>
        <w:t>:</w:t>
      </w:r>
      <w:r w:rsidR="00A469F8" w:rsidRPr="00BE10AE">
        <w:rPr>
          <w:rFonts w:ascii="Garamond" w:hAnsi="Garamond"/>
          <w:sz w:val="26"/>
          <w:szCs w:val="26"/>
        </w:rPr>
        <w:t xml:space="preserve"> Section 314 requires </w:t>
      </w:r>
      <w:r w:rsidR="00DB62DB" w:rsidRPr="00BE10AE">
        <w:rPr>
          <w:rFonts w:ascii="Garamond" w:hAnsi="Garamond"/>
          <w:sz w:val="26"/>
          <w:szCs w:val="26"/>
        </w:rPr>
        <w:t xml:space="preserve">that the </w:t>
      </w:r>
      <w:r w:rsidR="008621A3" w:rsidRPr="00BE10AE">
        <w:rPr>
          <w:rFonts w:ascii="Garamond" w:hAnsi="Garamond"/>
          <w:sz w:val="26"/>
          <w:szCs w:val="26"/>
        </w:rPr>
        <w:t xml:space="preserve">defendant intend </w:t>
      </w:r>
      <w:r w:rsidR="00A469F8" w:rsidRPr="00BE10AE">
        <w:rPr>
          <w:rFonts w:ascii="Garamond" w:hAnsi="Garamond"/>
          <w:sz w:val="26"/>
          <w:szCs w:val="26"/>
        </w:rPr>
        <w:t xml:space="preserve">to draw public attention to </w:t>
      </w:r>
      <w:r w:rsidR="008621A3" w:rsidRPr="00BE10AE">
        <w:rPr>
          <w:rFonts w:ascii="Garamond" w:hAnsi="Garamond"/>
          <w:sz w:val="26"/>
          <w:szCs w:val="26"/>
        </w:rPr>
        <w:t>his genitals</w:t>
      </w:r>
      <w:r w:rsidR="00E36591" w:rsidRPr="00BE10AE">
        <w:rPr>
          <w:rFonts w:ascii="Garamond" w:hAnsi="Garamond"/>
          <w:sz w:val="26"/>
          <w:szCs w:val="26"/>
        </w:rPr>
        <w:t xml:space="preserve">. </w:t>
      </w:r>
      <w:r w:rsidR="00DB5687" w:rsidRPr="00BE10AE">
        <w:rPr>
          <w:rFonts w:ascii="Garamond" w:hAnsi="Garamond"/>
          <w:sz w:val="26"/>
          <w:szCs w:val="26"/>
        </w:rPr>
        <w:t>(</w:t>
      </w:r>
      <w:r w:rsidR="00DB5687" w:rsidRPr="00BE10AE">
        <w:rPr>
          <w:rFonts w:ascii="Garamond" w:hAnsi="Garamond"/>
          <w:i/>
          <w:iCs/>
          <w:sz w:val="26"/>
          <w:szCs w:val="26"/>
        </w:rPr>
        <w:t>People v. Honan</w:t>
      </w:r>
      <w:r w:rsidR="00DB5687" w:rsidRPr="00BE10AE">
        <w:rPr>
          <w:rFonts w:ascii="Garamond" w:hAnsi="Garamond"/>
          <w:sz w:val="26"/>
          <w:szCs w:val="26"/>
        </w:rPr>
        <w:t xml:space="preserve"> (2010) 186 Cal.App.4th 175</w:t>
      </w:r>
      <w:r w:rsidR="009F05AB" w:rsidRPr="00BE10AE">
        <w:rPr>
          <w:rFonts w:ascii="Garamond" w:hAnsi="Garamond"/>
          <w:sz w:val="26"/>
          <w:szCs w:val="26"/>
        </w:rPr>
        <w:t>, 181-182</w:t>
      </w:r>
      <w:r w:rsidR="00DB5687" w:rsidRPr="00BE10AE">
        <w:rPr>
          <w:rFonts w:ascii="Garamond" w:hAnsi="Garamond"/>
          <w:sz w:val="26"/>
          <w:szCs w:val="26"/>
        </w:rPr>
        <w:t xml:space="preserve">.) </w:t>
      </w:r>
      <w:r w:rsidR="00E36591" w:rsidRPr="00BE10AE">
        <w:rPr>
          <w:rFonts w:ascii="Garamond" w:hAnsi="Garamond"/>
          <w:sz w:val="26"/>
          <w:szCs w:val="26"/>
        </w:rPr>
        <w:t>Inc</w:t>
      </w:r>
      <w:r w:rsidR="00A469F8" w:rsidRPr="00BE10AE">
        <w:rPr>
          <w:rFonts w:ascii="Garamond" w:hAnsi="Garamond"/>
          <w:sz w:val="26"/>
          <w:szCs w:val="26"/>
        </w:rPr>
        <w:t>idental public exposure</w:t>
      </w:r>
      <w:r w:rsidR="00E36591" w:rsidRPr="00BE10AE">
        <w:rPr>
          <w:rFonts w:ascii="Garamond" w:hAnsi="Garamond"/>
          <w:sz w:val="26"/>
          <w:szCs w:val="26"/>
        </w:rPr>
        <w:t xml:space="preserve"> is not enough</w:t>
      </w:r>
      <w:r w:rsidR="00A469F8" w:rsidRPr="00BE10AE">
        <w:rPr>
          <w:rFonts w:ascii="Garamond" w:hAnsi="Garamond"/>
          <w:sz w:val="26"/>
          <w:szCs w:val="26"/>
        </w:rPr>
        <w:t xml:space="preserve">. </w:t>
      </w:r>
      <w:r w:rsidR="009F05AB" w:rsidRPr="00BE10AE">
        <w:rPr>
          <w:rFonts w:ascii="Garamond" w:hAnsi="Garamond"/>
          <w:sz w:val="26"/>
          <w:szCs w:val="26"/>
        </w:rPr>
        <w:t>(</w:t>
      </w:r>
      <w:r w:rsidR="009F05AB" w:rsidRPr="00BE10AE">
        <w:rPr>
          <w:rFonts w:ascii="Garamond" w:hAnsi="Garamond"/>
          <w:i/>
          <w:iCs/>
          <w:sz w:val="26"/>
          <w:szCs w:val="26"/>
        </w:rPr>
        <w:t>Ibid</w:t>
      </w:r>
      <w:r w:rsidR="009F05AB" w:rsidRPr="00BE10AE">
        <w:rPr>
          <w:rFonts w:ascii="Garamond" w:hAnsi="Garamond"/>
          <w:sz w:val="26"/>
          <w:szCs w:val="26"/>
        </w:rPr>
        <w:t xml:space="preserve">.) </w:t>
      </w:r>
      <w:r w:rsidR="00E36591" w:rsidRPr="00BE10AE">
        <w:rPr>
          <w:rFonts w:ascii="Garamond" w:hAnsi="Garamond"/>
          <w:sz w:val="26"/>
          <w:szCs w:val="26"/>
        </w:rPr>
        <w:t>At this juror</w:t>
      </w:r>
      <w:r w:rsidR="00345E47" w:rsidRPr="00BE10AE">
        <w:rPr>
          <w:rFonts w:ascii="Garamond" w:hAnsi="Garamond"/>
          <w:sz w:val="26"/>
          <w:szCs w:val="26"/>
        </w:rPr>
        <w:t>’</w:t>
      </w:r>
      <w:r w:rsidR="00E36591" w:rsidRPr="00BE10AE">
        <w:rPr>
          <w:rFonts w:ascii="Garamond" w:hAnsi="Garamond"/>
          <w:sz w:val="26"/>
          <w:szCs w:val="26"/>
        </w:rPr>
        <w:t>s behest, the jury submitted</w:t>
      </w:r>
      <w:r w:rsidR="00D80A81" w:rsidRPr="00BE10AE">
        <w:rPr>
          <w:rFonts w:ascii="Garamond" w:hAnsi="Garamond"/>
          <w:sz w:val="26"/>
          <w:szCs w:val="26"/>
        </w:rPr>
        <w:t xml:space="preserve"> questions </w:t>
      </w:r>
      <w:r w:rsidR="00E36591" w:rsidRPr="00BE10AE">
        <w:rPr>
          <w:rFonts w:ascii="Garamond" w:hAnsi="Garamond"/>
          <w:sz w:val="26"/>
          <w:szCs w:val="26"/>
        </w:rPr>
        <w:t xml:space="preserve">to the court </w:t>
      </w:r>
      <w:r w:rsidR="00D80A81" w:rsidRPr="00BE10AE">
        <w:rPr>
          <w:rFonts w:ascii="Garamond" w:hAnsi="Garamond"/>
          <w:sz w:val="26"/>
          <w:szCs w:val="26"/>
        </w:rPr>
        <w:t xml:space="preserve">on this very issue. </w:t>
      </w:r>
      <w:r w:rsidR="00E36591" w:rsidRPr="00BE10AE">
        <w:rPr>
          <w:rFonts w:ascii="Garamond" w:hAnsi="Garamond"/>
          <w:sz w:val="26"/>
          <w:szCs w:val="26"/>
        </w:rPr>
        <w:t>Alas, n</w:t>
      </w:r>
      <w:r w:rsidR="00D80A81" w:rsidRPr="00BE10AE">
        <w:rPr>
          <w:rFonts w:ascii="Garamond" w:hAnsi="Garamond"/>
          <w:sz w:val="26"/>
          <w:szCs w:val="26"/>
        </w:rPr>
        <w:t>either the lawyers nor the judges answer</w:t>
      </w:r>
      <w:r w:rsidR="00E36591" w:rsidRPr="00BE10AE">
        <w:rPr>
          <w:rFonts w:ascii="Garamond" w:hAnsi="Garamond"/>
          <w:sz w:val="26"/>
          <w:szCs w:val="26"/>
        </w:rPr>
        <w:t>ed</w:t>
      </w:r>
      <w:r w:rsidR="00D80A81" w:rsidRPr="00BE10AE">
        <w:rPr>
          <w:rFonts w:ascii="Garamond" w:hAnsi="Garamond"/>
          <w:sz w:val="26"/>
          <w:szCs w:val="26"/>
        </w:rPr>
        <w:t xml:space="preserve"> this question correctly. </w:t>
      </w:r>
      <w:r w:rsidR="00E36591" w:rsidRPr="00BE10AE">
        <w:rPr>
          <w:rFonts w:ascii="Garamond" w:hAnsi="Garamond"/>
          <w:sz w:val="26"/>
          <w:szCs w:val="26"/>
        </w:rPr>
        <w:t xml:space="preserve">The judge simply repeated the </w:t>
      </w:r>
      <w:r w:rsidR="00846A2D" w:rsidRPr="00BE10AE">
        <w:rPr>
          <w:rFonts w:ascii="Garamond" w:hAnsi="Garamond"/>
          <w:sz w:val="26"/>
          <w:szCs w:val="26"/>
        </w:rPr>
        <w:t xml:space="preserve">instructions on intent that it had already given. The jury could make no progress, and eventually, </w:t>
      </w:r>
      <w:r w:rsidR="00774442" w:rsidRPr="00BE10AE">
        <w:rPr>
          <w:rFonts w:ascii="Garamond" w:hAnsi="Garamond"/>
          <w:sz w:val="26"/>
          <w:szCs w:val="26"/>
        </w:rPr>
        <w:t>it began sending notes containing</w:t>
      </w:r>
      <w:r w:rsidR="00D80A81" w:rsidRPr="00BE10AE">
        <w:rPr>
          <w:rFonts w:ascii="Garamond" w:hAnsi="Garamond"/>
          <w:sz w:val="26"/>
          <w:szCs w:val="26"/>
        </w:rPr>
        <w:t xml:space="preserve"> words like</w:t>
      </w:r>
      <w:r w:rsidR="00774442" w:rsidRPr="00BE10AE">
        <w:rPr>
          <w:rFonts w:ascii="Garamond" w:hAnsi="Garamond"/>
          <w:sz w:val="26"/>
          <w:szCs w:val="26"/>
        </w:rPr>
        <w:t xml:space="preserve"> </w:t>
      </w:r>
      <w:r w:rsidR="00345E47" w:rsidRPr="00BE10AE">
        <w:rPr>
          <w:rFonts w:ascii="Garamond" w:hAnsi="Garamond"/>
          <w:sz w:val="26"/>
          <w:szCs w:val="26"/>
        </w:rPr>
        <w:t>“</w:t>
      </w:r>
      <w:r w:rsidR="00774442" w:rsidRPr="00BE10AE">
        <w:rPr>
          <w:rFonts w:ascii="Garamond" w:hAnsi="Garamond"/>
          <w:sz w:val="26"/>
          <w:szCs w:val="26"/>
        </w:rPr>
        <w:t>impasse</w:t>
      </w:r>
      <w:r w:rsidR="00A530E9" w:rsidRPr="00BE10AE">
        <w:rPr>
          <w:rFonts w:ascii="Garamond" w:hAnsi="Garamond"/>
          <w:sz w:val="26"/>
          <w:szCs w:val="26"/>
        </w:rPr>
        <w:t>,</w:t>
      </w:r>
      <w:r w:rsidR="00345E47" w:rsidRPr="00BE10AE">
        <w:rPr>
          <w:rFonts w:ascii="Garamond" w:hAnsi="Garamond"/>
          <w:sz w:val="26"/>
          <w:szCs w:val="26"/>
        </w:rPr>
        <w:t>”</w:t>
      </w:r>
      <w:r w:rsidR="00A530E9" w:rsidRPr="00BE10AE">
        <w:rPr>
          <w:rFonts w:ascii="Garamond" w:hAnsi="Garamond"/>
          <w:sz w:val="26"/>
          <w:szCs w:val="26"/>
        </w:rPr>
        <w:t xml:space="preserve"> </w:t>
      </w:r>
      <w:r w:rsidR="00345E47" w:rsidRPr="00BE10AE">
        <w:rPr>
          <w:rFonts w:ascii="Garamond" w:hAnsi="Garamond"/>
          <w:sz w:val="26"/>
          <w:szCs w:val="26"/>
        </w:rPr>
        <w:t>“</w:t>
      </w:r>
      <w:r w:rsidR="00B721B1" w:rsidRPr="00BE10AE">
        <w:rPr>
          <w:rFonts w:ascii="Garamond" w:hAnsi="Garamond"/>
          <w:sz w:val="26"/>
          <w:szCs w:val="26"/>
        </w:rPr>
        <w:t>stalemate</w:t>
      </w:r>
      <w:r w:rsidR="00A530E9" w:rsidRPr="00BE10AE">
        <w:rPr>
          <w:rFonts w:ascii="Garamond" w:hAnsi="Garamond"/>
          <w:sz w:val="26"/>
          <w:szCs w:val="26"/>
        </w:rPr>
        <w:t>,</w:t>
      </w:r>
      <w:r w:rsidR="00345E47" w:rsidRPr="00BE10AE">
        <w:rPr>
          <w:rFonts w:ascii="Garamond" w:hAnsi="Garamond"/>
          <w:sz w:val="26"/>
          <w:szCs w:val="26"/>
        </w:rPr>
        <w:t>”</w:t>
      </w:r>
      <w:r w:rsidR="00B721B1" w:rsidRPr="00BE10AE">
        <w:rPr>
          <w:rFonts w:ascii="Garamond" w:hAnsi="Garamond"/>
          <w:sz w:val="26"/>
          <w:szCs w:val="26"/>
        </w:rPr>
        <w:t xml:space="preserve"> and </w:t>
      </w:r>
      <w:r w:rsidR="00345E47" w:rsidRPr="00BE10AE">
        <w:rPr>
          <w:rFonts w:ascii="Garamond" w:hAnsi="Garamond"/>
          <w:sz w:val="26"/>
          <w:szCs w:val="26"/>
        </w:rPr>
        <w:t>“</w:t>
      </w:r>
      <w:r w:rsidR="00CF7D70" w:rsidRPr="00BE10AE">
        <w:rPr>
          <w:rFonts w:ascii="Garamond" w:hAnsi="Garamond"/>
          <w:sz w:val="26"/>
          <w:szCs w:val="26"/>
        </w:rPr>
        <w:t>eleven to one</w:t>
      </w:r>
      <w:r w:rsidR="008C06F9" w:rsidRPr="00BE10AE">
        <w:rPr>
          <w:rFonts w:ascii="Garamond" w:hAnsi="Garamond"/>
          <w:sz w:val="26"/>
          <w:szCs w:val="26"/>
        </w:rPr>
        <w:t>.</w:t>
      </w:r>
      <w:r w:rsidR="00345E47" w:rsidRPr="00BE10AE">
        <w:rPr>
          <w:rFonts w:ascii="Garamond" w:hAnsi="Garamond"/>
          <w:sz w:val="26"/>
          <w:szCs w:val="26"/>
        </w:rPr>
        <w:t>”</w:t>
      </w:r>
      <w:r w:rsidR="008C06F9" w:rsidRPr="00BE10AE">
        <w:rPr>
          <w:rFonts w:ascii="Garamond" w:hAnsi="Garamond"/>
          <w:sz w:val="26"/>
          <w:szCs w:val="26"/>
        </w:rPr>
        <w:t xml:space="preserve"> The </w:t>
      </w:r>
      <w:r w:rsidR="00086C50" w:rsidRPr="00BE10AE">
        <w:rPr>
          <w:rFonts w:ascii="Garamond" w:hAnsi="Garamond"/>
          <w:sz w:val="26"/>
          <w:szCs w:val="26"/>
        </w:rPr>
        <w:t>judge</w:t>
      </w:r>
      <w:r w:rsidR="008C06F9" w:rsidRPr="00BE10AE">
        <w:rPr>
          <w:rFonts w:ascii="Garamond" w:hAnsi="Garamond"/>
          <w:sz w:val="26"/>
          <w:szCs w:val="26"/>
        </w:rPr>
        <w:t xml:space="preserve"> intervene</w:t>
      </w:r>
      <w:r w:rsidR="00086C50" w:rsidRPr="00BE10AE">
        <w:rPr>
          <w:rFonts w:ascii="Garamond" w:hAnsi="Garamond"/>
          <w:sz w:val="26"/>
          <w:szCs w:val="26"/>
        </w:rPr>
        <w:t>d</w:t>
      </w:r>
      <w:r w:rsidR="008C06F9" w:rsidRPr="00BE10AE">
        <w:rPr>
          <w:rFonts w:ascii="Garamond" w:hAnsi="Garamond"/>
          <w:sz w:val="26"/>
          <w:szCs w:val="26"/>
        </w:rPr>
        <w:t xml:space="preserve">. </w:t>
      </w:r>
    </w:p>
    <w:p w14:paraId="307B321D" w14:textId="48BC9312" w:rsidR="008C06F9" w:rsidRPr="00BE10AE" w:rsidRDefault="00086C50" w:rsidP="003D3BE9">
      <w:pPr>
        <w:spacing w:line="360" w:lineRule="auto"/>
        <w:ind w:firstLine="360"/>
        <w:contextualSpacing/>
        <w:rPr>
          <w:rFonts w:ascii="Garamond" w:hAnsi="Garamond"/>
          <w:sz w:val="26"/>
          <w:szCs w:val="26"/>
        </w:rPr>
      </w:pPr>
      <w:r w:rsidRPr="00BE10AE">
        <w:rPr>
          <w:rFonts w:ascii="Garamond" w:hAnsi="Garamond"/>
          <w:sz w:val="26"/>
          <w:szCs w:val="26"/>
        </w:rPr>
        <w:t xml:space="preserve">The judge brought the jury out and </w:t>
      </w:r>
      <w:r w:rsidR="008C06F9" w:rsidRPr="00BE10AE">
        <w:rPr>
          <w:rFonts w:ascii="Garamond" w:hAnsi="Garamond"/>
          <w:sz w:val="26"/>
          <w:szCs w:val="26"/>
        </w:rPr>
        <w:t>ask</w:t>
      </w:r>
      <w:r w:rsidRPr="00BE10AE">
        <w:rPr>
          <w:rFonts w:ascii="Garamond" w:hAnsi="Garamond"/>
          <w:sz w:val="26"/>
          <w:szCs w:val="26"/>
        </w:rPr>
        <w:t xml:space="preserve">ed </w:t>
      </w:r>
      <w:r w:rsidR="008C06F9" w:rsidRPr="00BE10AE">
        <w:rPr>
          <w:rFonts w:ascii="Garamond" w:hAnsi="Garamond"/>
          <w:sz w:val="26"/>
          <w:szCs w:val="26"/>
        </w:rPr>
        <w:t xml:space="preserve">who the holdout </w:t>
      </w:r>
      <w:r w:rsidRPr="00BE10AE">
        <w:rPr>
          <w:rFonts w:ascii="Garamond" w:hAnsi="Garamond"/>
          <w:sz w:val="26"/>
          <w:szCs w:val="26"/>
        </w:rPr>
        <w:t xml:space="preserve">was. </w:t>
      </w:r>
      <w:r w:rsidR="008C06F9" w:rsidRPr="00BE10AE">
        <w:rPr>
          <w:rFonts w:ascii="Garamond" w:hAnsi="Garamond"/>
          <w:sz w:val="26"/>
          <w:szCs w:val="26"/>
        </w:rPr>
        <w:t>The holdout identifie</w:t>
      </w:r>
      <w:r w:rsidRPr="00BE10AE">
        <w:rPr>
          <w:rFonts w:ascii="Garamond" w:hAnsi="Garamond"/>
          <w:sz w:val="26"/>
          <w:szCs w:val="26"/>
        </w:rPr>
        <w:t>d</w:t>
      </w:r>
      <w:r w:rsidR="008C06F9" w:rsidRPr="00BE10AE">
        <w:rPr>
          <w:rFonts w:ascii="Garamond" w:hAnsi="Garamond"/>
          <w:sz w:val="26"/>
          <w:szCs w:val="26"/>
        </w:rPr>
        <w:t xml:space="preserve"> himself. </w:t>
      </w:r>
      <w:r w:rsidR="004F1C01" w:rsidRPr="00BE10AE">
        <w:rPr>
          <w:rFonts w:ascii="Garamond" w:hAnsi="Garamond"/>
          <w:sz w:val="26"/>
          <w:szCs w:val="26"/>
        </w:rPr>
        <w:t xml:space="preserve">The court asked if the holdout was deliberating, and the foreperson confirmed that he was. The judge told the jury </w:t>
      </w:r>
      <w:r w:rsidR="00A530E9" w:rsidRPr="00BE10AE">
        <w:rPr>
          <w:rFonts w:ascii="Garamond" w:hAnsi="Garamond"/>
          <w:sz w:val="26"/>
          <w:szCs w:val="26"/>
        </w:rPr>
        <w:t xml:space="preserve">to </w:t>
      </w:r>
      <w:r w:rsidR="004F1C01" w:rsidRPr="00BE10AE">
        <w:rPr>
          <w:rFonts w:ascii="Garamond" w:hAnsi="Garamond"/>
          <w:sz w:val="26"/>
          <w:szCs w:val="26"/>
        </w:rPr>
        <w:t>resume deliberations the next day and said she would provide further guidance</w:t>
      </w:r>
      <w:r w:rsidR="00A27324" w:rsidRPr="00BE10AE">
        <w:rPr>
          <w:rFonts w:ascii="Garamond" w:hAnsi="Garamond"/>
          <w:sz w:val="26"/>
          <w:szCs w:val="26"/>
        </w:rPr>
        <w:t xml:space="preserve"> then</w:t>
      </w:r>
      <w:r w:rsidR="004F1C01" w:rsidRPr="00BE10AE">
        <w:rPr>
          <w:rFonts w:ascii="Garamond" w:hAnsi="Garamond"/>
          <w:sz w:val="26"/>
          <w:szCs w:val="26"/>
        </w:rPr>
        <w:t>.</w:t>
      </w:r>
      <w:r w:rsidR="00B77857" w:rsidRPr="00BE10AE">
        <w:rPr>
          <w:rFonts w:ascii="Garamond" w:hAnsi="Garamond"/>
          <w:sz w:val="26"/>
          <w:szCs w:val="26"/>
        </w:rPr>
        <w:t xml:space="preserve"> The next day the jury continued to send notes saying they were deadlocked. Eventually, the court brought the jury back out. She asked the holdout</w:t>
      </w:r>
      <w:r w:rsidR="00C5618B" w:rsidRPr="00BE10AE">
        <w:rPr>
          <w:rFonts w:ascii="Garamond" w:hAnsi="Garamond"/>
          <w:sz w:val="26"/>
          <w:szCs w:val="26"/>
        </w:rPr>
        <w:t xml:space="preserve"> i</w:t>
      </w:r>
      <w:r w:rsidR="008C06F9" w:rsidRPr="00BE10AE">
        <w:rPr>
          <w:rFonts w:ascii="Garamond" w:hAnsi="Garamond"/>
          <w:sz w:val="26"/>
          <w:szCs w:val="26"/>
        </w:rPr>
        <w:t xml:space="preserve">f there </w:t>
      </w:r>
      <w:r w:rsidRPr="00BE10AE">
        <w:rPr>
          <w:rFonts w:ascii="Garamond" w:hAnsi="Garamond"/>
          <w:sz w:val="26"/>
          <w:szCs w:val="26"/>
        </w:rPr>
        <w:t>was</w:t>
      </w:r>
      <w:r w:rsidR="008C06F9" w:rsidRPr="00BE10AE">
        <w:rPr>
          <w:rFonts w:ascii="Garamond" w:hAnsi="Garamond"/>
          <w:sz w:val="26"/>
          <w:szCs w:val="26"/>
        </w:rPr>
        <w:t xml:space="preserve"> anything </w:t>
      </w:r>
      <w:r w:rsidR="001C0C58" w:rsidRPr="00BE10AE">
        <w:rPr>
          <w:rFonts w:ascii="Garamond" w:hAnsi="Garamond"/>
          <w:sz w:val="26"/>
          <w:szCs w:val="26"/>
        </w:rPr>
        <w:t xml:space="preserve">she </w:t>
      </w:r>
      <w:r w:rsidRPr="00BE10AE">
        <w:rPr>
          <w:rFonts w:ascii="Garamond" w:hAnsi="Garamond"/>
          <w:sz w:val="26"/>
          <w:szCs w:val="26"/>
        </w:rPr>
        <w:t>could</w:t>
      </w:r>
      <w:r w:rsidR="001C0C58" w:rsidRPr="00BE10AE">
        <w:rPr>
          <w:rFonts w:ascii="Garamond" w:hAnsi="Garamond"/>
          <w:sz w:val="26"/>
          <w:szCs w:val="26"/>
        </w:rPr>
        <w:t xml:space="preserve"> do to </w:t>
      </w:r>
      <w:r w:rsidR="00345E47" w:rsidRPr="00BE10AE">
        <w:rPr>
          <w:rFonts w:ascii="Garamond" w:hAnsi="Garamond"/>
          <w:sz w:val="26"/>
          <w:szCs w:val="26"/>
        </w:rPr>
        <w:t>“</w:t>
      </w:r>
      <w:r w:rsidR="00C5618B" w:rsidRPr="00BE10AE">
        <w:rPr>
          <w:rFonts w:ascii="Garamond" w:hAnsi="Garamond"/>
          <w:sz w:val="26"/>
          <w:szCs w:val="26"/>
        </w:rPr>
        <w:t>assist you in reaching</w:t>
      </w:r>
      <w:r w:rsidR="001C0C58" w:rsidRPr="00BE10AE">
        <w:rPr>
          <w:rFonts w:ascii="Garamond" w:hAnsi="Garamond"/>
          <w:sz w:val="26"/>
          <w:szCs w:val="26"/>
        </w:rPr>
        <w:t xml:space="preserve"> a verdict.</w:t>
      </w:r>
      <w:r w:rsidR="00345E47" w:rsidRPr="00BE10AE">
        <w:rPr>
          <w:rFonts w:ascii="Garamond" w:hAnsi="Garamond"/>
          <w:sz w:val="26"/>
          <w:szCs w:val="26"/>
        </w:rPr>
        <w:t>”</w:t>
      </w:r>
      <w:r w:rsidR="001C0C58" w:rsidRPr="00BE10AE">
        <w:rPr>
          <w:rFonts w:ascii="Garamond" w:hAnsi="Garamond"/>
          <w:sz w:val="26"/>
          <w:szCs w:val="26"/>
        </w:rPr>
        <w:t xml:space="preserve"> </w:t>
      </w:r>
      <w:r w:rsidR="004B4FD3" w:rsidRPr="00BE10AE">
        <w:rPr>
          <w:rFonts w:ascii="Garamond" w:hAnsi="Garamond"/>
          <w:sz w:val="26"/>
          <w:szCs w:val="26"/>
        </w:rPr>
        <w:t>The holdout juror again</w:t>
      </w:r>
      <w:r w:rsidR="007C038C" w:rsidRPr="00BE10AE">
        <w:rPr>
          <w:rFonts w:ascii="Garamond" w:hAnsi="Garamond"/>
          <w:sz w:val="26"/>
          <w:szCs w:val="26"/>
        </w:rPr>
        <w:t xml:space="preserve"> asked for clarification on the required intent. The court said it would provide more guidance. It never did. </w:t>
      </w:r>
      <w:r w:rsidR="00ED6A90" w:rsidRPr="00BE10AE">
        <w:rPr>
          <w:rFonts w:ascii="Garamond" w:hAnsi="Garamond"/>
          <w:sz w:val="26"/>
          <w:szCs w:val="26"/>
        </w:rPr>
        <w:t>Eventually, after hours more of deliberations, the juror cave</w:t>
      </w:r>
      <w:r w:rsidR="007C038C" w:rsidRPr="00BE10AE">
        <w:rPr>
          <w:rFonts w:ascii="Garamond" w:hAnsi="Garamond"/>
          <w:sz w:val="26"/>
          <w:szCs w:val="26"/>
        </w:rPr>
        <w:t>d</w:t>
      </w:r>
      <w:r w:rsidR="002A03FF" w:rsidRPr="00BE10AE">
        <w:rPr>
          <w:rFonts w:ascii="Garamond" w:hAnsi="Garamond"/>
          <w:sz w:val="26"/>
          <w:szCs w:val="26"/>
        </w:rPr>
        <w:t>, and the jury</w:t>
      </w:r>
      <w:r w:rsidR="00ED6A90" w:rsidRPr="00BE10AE">
        <w:rPr>
          <w:rFonts w:ascii="Garamond" w:hAnsi="Garamond"/>
          <w:sz w:val="26"/>
          <w:szCs w:val="26"/>
        </w:rPr>
        <w:t xml:space="preserve"> convict</w:t>
      </w:r>
      <w:r w:rsidR="007C038C" w:rsidRPr="00BE10AE">
        <w:rPr>
          <w:rFonts w:ascii="Garamond" w:hAnsi="Garamond"/>
          <w:sz w:val="26"/>
          <w:szCs w:val="26"/>
        </w:rPr>
        <w:t>ed</w:t>
      </w:r>
      <w:r w:rsidR="00ED6A90" w:rsidRPr="00BE10AE">
        <w:rPr>
          <w:rFonts w:ascii="Garamond" w:hAnsi="Garamond"/>
          <w:sz w:val="26"/>
          <w:szCs w:val="26"/>
        </w:rPr>
        <w:t>.</w:t>
      </w:r>
    </w:p>
    <w:p w14:paraId="4FC3CEA2" w14:textId="5D31AE5F" w:rsidR="00381C5D" w:rsidRPr="00BE10AE" w:rsidRDefault="00ED6A90" w:rsidP="00381C5D">
      <w:pPr>
        <w:spacing w:line="360" w:lineRule="auto"/>
        <w:ind w:firstLine="360"/>
        <w:contextualSpacing/>
        <w:rPr>
          <w:rFonts w:ascii="Garamond" w:hAnsi="Garamond"/>
          <w:sz w:val="26"/>
          <w:szCs w:val="26"/>
        </w:rPr>
      </w:pPr>
      <w:r w:rsidRPr="00BE10AE">
        <w:rPr>
          <w:rFonts w:ascii="Garamond" w:hAnsi="Garamond"/>
          <w:sz w:val="26"/>
          <w:szCs w:val="26"/>
        </w:rPr>
        <w:t xml:space="preserve">This happened in </w:t>
      </w:r>
      <w:r w:rsidR="00DC19AD" w:rsidRPr="00BE10AE">
        <w:rPr>
          <w:rFonts w:ascii="Garamond" w:hAnsi="Garamond"/>
          <w:i/>
          <w:iCs/>
          <w:sz w:val="26"/>
          <w:szCs w:val="26"/>
        </w:rPr>
        <w:t>People v. Christian</w:t>
      </w:r>
      <w:r w:rsidR="00DC19AD" w:rsidRPr="00BE10AE">
        <w:rPr>
          <w:rFonts w:ascii="Garamond" w:hAnsi="Garamond"/>
          <w:sz w:val="26"/>
          <w:szCs w:val="26"/>
        </w:rPr>
        <w:t xml:space="preserve">, 2019 Cal.App.Unpub. LEXIS 7296, an unpublished decision, but one </w:t>
      </w:r>
      <w:r w:rsidR="00601EC9" w:rsidRPr="00BE10AE">
        <w:rPr>
          <w:rFonts w:ascii="Garamond" w:hAnsi="Garamond"/>
          <w:sz w:val="26"/>
          <w:szCs w:val="26"/>
        </w:rPr>
        <w:t xml:space="preserve">in </w:t>
      </w:r>
      <w:r w:rsidR="008B02C6" w:rsidRPr="00BE10AE">
        <w:rPr>
          <w:rFonts w:ascii="Garamond" w:hAnsi="Garamond"/>
          <w:sz w:val="26"/>
          <w:szCs w:val="26"/>
        </w:rPr>
        <w:t>which SDAP</w:t>
      </w:r>
      <w:r w:rsidR="00345E47" w:rsidRPr="00BE10AE">
        <w:rPr>
          <w:rFonts w:ascii="Garamond" w:hAnsi="Garamond"/>
          <w:sz w:val="26"/>
          <w:szCs w:val="26"/>
        </w:rPr>
        <w:t>’</w:t>
      </w:r>
      <w:r w:rsidR="008B02C6" w:rsidRPr="00BE10AE">
        <w:rPr>
          <w:rFonts w:ascii="Garamond" w:hAnsi="Garamond"/>
          <w:sz w:val="26"/>
          <w:szCs w:val="26"/>
        </w:rPr>
        <w:t xml:space="preserve">s own Anna Stuart </w:t>
      </w:r>
      <w:r w:rsidR="00601EC9" w:rsidRPr="00BE10AE">
        <w:rPr>
          <w:rFonts w:ascii="Garamond" w:hAnsi="Garamond"/>
          <w:sz w:val="26"/>
          <w:szCs w:val="26"/>
        </w:rPr>
        <w:t>got</w:t>
      </w:r>
      <w:r w:rsidR="008B02C6" w:rsidRPr="00BE10AE">
        <w:rPr>
          <w:rFonts w:ascii="Garamond" w:hAnsi="Garamond"/>
          <w:sz w:val="26"/>
          <w:szCs w:val="26"/>
        </w:rPr>
        <w:t xml:space="preserve"> her client</w:t>
      </w:r>
      <w:r w:rsidR="00345E47" w:rsidRPr="00BE10AE">
        <w:rPr>
          <w:rFonts w:ascii="Garamond" w:hAnsi="Garamond"/>
          <w:sz w:val="26"/>
          <w:szCs w:val="26"/>
        </w:rPr>
        <w:t>’</w:t>
      </w:r>
      <w:r w:rsidR="008B02C6" w:rsidRPr="00BE10AE">
        <w:rPr>
          <w:rFonts w:ascii="Garamond" w:hAnsi="Garamond"/>
          <w:sz w:val="26"/>
          <w:szCs w:val="26"/>
        </w:rPr>
        <w:t>s 25</w:t>
      </w:r>
      <w:r w:rsidR="00D92C9B" w:rsidRPr="00BE10AE">
        <w:rPr>
          <w:rFonts w:ascii="Garamond" w:hAnsi="Garamond"/>
          <w:sz w:val="26"/>
          <w:szCs w:val="26"/>
        </w:rPr>
        <w:t>-</w:t>
      </w:r>
      <w:r w:rsidR="008B02C6" w:rsidRPr="00BE10AE">
        <w:rPr>
          <w:rFonts w:ascii="Garamond" w:hAnsi="Garamond"/>
          <w:sz w:val="26"/>
          <w:szCs w:val="26"/>
        </w:rPr>
        <w:t>to</w:t>
      </w:r>
      <w:r w:rsidR="00D92C9B" w:rsidRPr="00BE10AE">
        <w:rPr>
          <w:rFonts w:ascii="Garamond" w:hAnsi="Garamond"/>
          <w:sz w:val="26"/>
          <w:szCs w:val="26"/>
        </w:rPr>
        <w:t>-</w:t>
      </w:r>
      <w:r w:rsidR="008B02C6" w:rsidRPr="00BE10AE">
        <w:rPr>
          <w:rFonts w:ascii="Garamond" w:hAnsi="Garamond"/>
          <w:sz w:val="26"/>
          <w:szCs w:val="26"/>
        </w:rPr>
        <w:t xml:space="preserve">life </w:t>
      </w:r>
      <w:r w:rsidR="00D92C9B" w:rsidRPr="00BE10AE">
        <w:rPr>
          <w:rFonts w:ascii="Garamond" w:hAnsi="Garamond"/>
          <w:sz w:val="26"/>
          <w:szCs w:val="26"/>
        </w:rPr>
        <w:t>sentence</w:t>
      </w:r>
      <w:r w:rsidR="008B02C6" w:rsidRPr="00BE10AE">
        <w:rPr>
          <w:rFonts w:ascii="Garamond" w:hAnsi="Garamond"/>
          <w:sz w:val="26"/>
          <w:szCs w:val="26"/>
        </w:rPr>
        <w:t xml:space="preserve"> reversed.</w:t>
      </w:r>
      <w:r w:rsidR="00077817">
        <w:rPr>
          <w:rStyle w:val="FootnoteReference"/>
          <w:rFonts w:ascii="Garamond" w:hAnsi="Garamond"/>
          <w:sz w:val="26"/>
          <w:szCs w:val="26"/>
        </w:rPr>
        <w:footnoteReference w:id="2"/>
      </w:r>
      <w:r w:rsidR="008B02C6" w:rsidRPr="00BE10AE">
        <w:rPr>
          <w:rFonts w:ascii="Garamond" w:hAnsi="Garamond"/>
          <w:sz w:val="26"/>
          <w:szCs w:val="26"/>
        </w:rPr>
        <w:t xml:space="preserve"> The </w:t>
      </w:r>
      <w:r w:rsidR="00A9792B" w:rsidRPr="00BE10AE">
        <w:rPr>
          <w:rFonts w:ascii="Garamond" w:hAnsi="Garamond"/>
          <w:sz w:val="26"/>
          <w:szCs w:val="26"/>
        </w:rPr>
        <w:t>Court of Appeal</w:t>
      </w:r>
      <w:r w:rsidR="008B02C6" w:rsidRPr="00BE10AE">
        <w:rPr>
          <w:rFonts w:ascii="Garamond" w:hAnsi="Garamond"/>
          <w:sz w:val="26"/>
          <w:szCs w:val="26"/>
        </w:rPr>
        <w:t xml:space="preserve"> reversed </w:t>
      </w:r>
      <w:r w:rsidR="00A86D57" w:rsidRPr="00BE10AE">
        <w:rPr>
          <w:rFonts w:ascii="Garamond" w:hAnsi="Garamond"/>
          <w:sz w:val="26"/>
          <w:szCs w:val="26"/>
        </w:rPr>
        <w:t xml:space="preserve">Mr. Christian’s conviction </w:t>
      </w:r>
      <w:r w:rsidR="008B02C6" w:rsidRPr="00BE10AE">
        <w:rPr>
          <w:rFonts w:ascii="Garamond" w:hAnsi="Garamond"/>
          <w:sz w:val="26"/>
          <w:szCs w:val="26"/>
        </w:rPr>
        <w:t xml:space="preserve">based on </w:t>
      </w:r>
      <w:r w:rsidR="00C453DC" w:rsidRPr="00BE10AE">
        <w:rPr>
          <w:rFonts w:ascii="Garamond" w:hAnsi="Garamond"/>
          <w:sz w:val="26"/>
          <w:szCs w:val="26"/>
        </w:rPr>
        <w:t xml:space="preserve">both </w:t>
      </w:r>
      <w:r w:rsidR="008B02C6" w:rsidRPr="00BE10AE">
        <w:rPr>
          <w:rFonts w:ascii="Garamond" w:hAnsi="Garamond"/>
          <w:sz w:val="26"/>
          <w:szCs w:val="26"/>
        </w:rPr>
        <w:t>trial counsel</w:t>
      </w:r>
      <w:r w:rsidR="00345E47" w:rsidRPr="00BE10AE">
        <w:rPr>
          <w:rFonts w:ascii="Garamond" w:hAnsi="Garamond"/>
          <w:sz w:val="26"/>
          <w:szCs w:val="26"/>
        </w:rPr>
        <w:t>’</w:t>
      </w:r>
      <w:r w:rsidR="008B02C6" w:rsidRPr="00BE10AE">
        <w:rPr>
          <w:rFonts w:ascii="Garamond" w:hAnsi="Garamond"/>
          <w:sz w:val="26"/>
          <w:szCs w:val="26"/>
        </w:rPr>
        <w:t xml:space="preserve">s failure to </w:t>
      </w:r>
      <w:r w:rsidR="0063125D" w:rsidRPr="00BE10AE">
        <w:rPr>
          <w:rFonts w:ascii="Garamond" w:hAnsi="Garamond"/>
          <w:sz w:val="26"/>
          <w:szCs w:val="26"/>
        </w:rPr>
        <w:t>request a mistrial</w:t>
      </w:r>
      <w:r w:rsidR="002A03FF" w:rsidRPr="00BE10AE">
        <w:rPr>
          <w:rFonts w:ascii="Garamond" w:hAnsi="Garamond"/>
          <w:sz w:val="26"/>
          <w:szCs w:val="26"/>
        </w:rPr>
        <w:t xml:space="preserve"> and the trial court</w:t>
      </w:r>
      <w:r w:rsidR="00345E47" w:rsidRPr="00BE10AE">
        <w:rPr>
          <w:rFonts w:ascii="Garamond" w:hAnsi="Garamond"/>
          <w:sz w:val="26"/>
          <w:szCs w:val="26"/>
        </w:rPr>
        <w:t>’</w:t>
      </w:r>
      <w:r w:rsidR="002A03FF" w:rsidRPr="00BE10AE">
        <w:rPr>
          <w:rFonts w:ascii="Garamond" w:hAnsi="Garamond"/>
          <w:sz w:val="26"/>
          <w:szCs w:val="26"/>
        </w:rPr>
        <w:t xml:space="preserve">s abuse of discretion in requiring further deliberations after the second deadlock announcement. </w:t>
      </w:r>
      <w:r w:rsidR="00612BB4" w:rsidRPr="00BE10AE">
        <w:rPr>
          <w:rFonts w:ascii="Garamond" w:hAnsi="Garamond"/>
          <w:sz w:val="26"/>
          <w:szCs w:val="26"/>
        </w:rPr>
        <w:t>(</w:t>
      </w:r>
      <w:r w:rsidR="00612BB4" w:rsidRPr="00BE10AE">
        <w:rPr>
          <w:rFonts w:ascii="Garamond" w:hAnsi="Garamond"/>
          <w:i/>
          <w:iCs/>
          <w:sz w:val="26"/>
          <w:szCs w:val="26"/>
        </w:rPr>
        <w:t>Id</w:t>
      </w:r>
      <w:r w:rsidR="00612BB4" w:rsidRPr="00BE10AE">
        <w:rPr>
          <w:rFonts w:ascii="Garamond" w:hAnsi="Garamond"/>
          <w:sz w:val="26"/>
          <w:szCs w:val="26"/>
        </w:rPr>
        <w:t xml:space="preserve">. at pp. *24-*25.) </w:t>
      </w:r>
      <w:r w:rsidR="003E0310" w:rsidRPr="00BE10AE">
        <w:rPr>
          <w:rFonts w:ascii="Garamond" w:hAnsi="Garamond"/>
          <w:sz w:val="26"/>
          <w:szCs w:val="26"/>
        </w:rPr>
        <w:t xml:space="preserve">The court </w:t>
      </w:r>
      <w:r w:rsidR="00CB1296" w:rsidRPr="00BE10AE">
        <w:rPr>
          <w:rFonts w:ascii="Garamond" w:hAnsi="Garamond"/>
          <w:sz w:val="26"/>
          <w:szCs w:val="26"/>
        </w:rPr>
        <w:t xml:space="preserve">emphasized that, in singling out the holdout juror, the </w:t>
      </w:r>
      <w:r w:rsidR="00A86D57" w:rsidRPr="00BE10AE">
        <w:rPr>
          <w:rFonts w:ascii="Garamond" w:hAnsi="Garamond"/>
          <w:sz w:val="26"/>
          <w:szCs w:val="26"/>
        </w:rPr>
        <w:t xml:space="preserve">trial </w:t>
      </w:r>
      <w:r w:rsidR="00CB1296" w:rsidRPr="00BE10AE">
        <w:rPr>
          <w:rFonts w:ascii="Garamond" w:hAnsi="Garamond"/>
          <w:sz w:val="26"/>
          <w:szCs w:val="26"/>
        </w:rPr>
        <w:t>court conveyed that its request to continue deliberating was actually a request to reach a verdict</w:t>
      </w:r>
      <w:r w:rsidR="008A08F1" w:rsidRPr="00BE10AE">
        <w:rPr>
          <w:rFonts w:ascii="Garamond" w:hAnsi="Garamond"/>
          <w:sz w:val="26"/>
          <w:szCs w:val="26"/>
        </w:rPr>
        <w:t>. (</w:t>
      </w:r>
      <w:r w:rsidR="008A08F1" w:rsidRPr="00BE10AE">
        <w:rPr>
          <w:rFonts w:ascii="Garamond" w:hAnsi="Garamond"/>
          <w:i/>
          <w:iCs/>
          <w:sz w:val="26"/>
          <w:szCs w:val="26"/>
        </w:rPr>
        <w:t>Id</w:t>
      </w:r>
      <w:r w:rsidR="008A08F1" w:rsidRPr="00BE10AE">
        <w:rPr>
          <w:rFonts w:ascii="Garamond" w:hAnsi="Garamond"/>
          <w:sz w:val="26"/>
          <w:szCs w:val="26"/>
        </w:rPr>
        <w:t xml:space="preserve">. at p. *24.) </w:t>
      </w:r>
      <w:r w:rsidR="0063125D" w:rsidRPr="00BE10AE">
        <w:rPr>
          <w:rFonts w:ascii="Garamond" w:hAnsi="Garamond"/>
          <w:sz w:val="26"/>
          <w:szCs w:val="26"/>
        </w:rPr>
        <w:t>(</w:t>
      </w:r>
      <w:r w:rsidR="008A08F1" w:rsidRPr="00BE10AE">
        <w:rPr>
          <w:rFonts w:ascii="Garamond" w:hAnsi="Garamond"/>
          <w:sz w:val="26"/>
          <w:szCs w:val="26"/>
        </w:rPr>
        <w:t>I</w:t>
      </w:r>
      <w:r w:rsidR="0063125D" w:rsidRPr="00BE10AE">
        <w:rPr>
          <w:rFonts w:ascii="Garamond" w:hAnsi="Garamond"/>
          <w:sz w:val="26"/>
          <w:szCs w:val="26"/>
        </w:rPr>
        <w:t xml:space="preserve">ndeed, in oral argument, Justice Elia said he could not fathom a trial judge singling out a holdout juror). </w:t>
      </w:r>
      <w:r w:rsidR="00D03D1B" w:rsidRPr="00BE10AE">
        <w:rPr>
          <w:rFonts w:ascii="Garamond" w:hAnsi="Garamond"/>
          <w:sz w:val="26"/>
          <w:szCs w:val="26"/>
        </w:rPr>
        <w:t xml:space="preserve">While </w:t>
      </w:r>
      <w:r w:rsidR="00D03D1B" w:rsidRPr="00DE2805">
        <w:rPr>
          <w:rFonts w:ascii="Garamond" w:hAnsi="Garamond"/>
          <w:i/>
          <w:iCs/>
          <w:sz w:val="26"/>
          <w:szCs w:val="26"/>
        </w:rPr>
        <w:t>Christian</w:t>
      </w:r>
      <w:r w:rsidR="00D03D1B" w:rsidRPr="00BE10AE">
        <w:rPr>
          <w:rFonts w:ascii="Garamond" w:hAnsi="Garamond"/>
          <w:sz w:val="26"/>
          <w:szCs w:val="26"/>
        </w:rPr>
        <w:t xml:space="preserve"> is unpublished and thus not citable, it illustrates the </w:t>
      </w:r>
      <w:r w:rsidR="000518DD" w:rsidRPr="00BE10AE">
        <w:rPr>
          <w:rFonts w:ascii="Garamond" w:hAnsi="Garamond"/>
          <w:sz w:val="26"/>
          <w:szCs w:val="26"/>
        </w:rPr>
        <w:t xml:space="preserve">kind of improper behavior appellate counsel </w:t>
      </w:r>
      <w:r w:rsidR="00470BDF" w:rsidRPr="00BE10AE">
        <w:rPr>
          <w:rFonts w:ascii="Garamond" w:hAnsi="Garamond"/>
          <w:sz w:val="26"/>
          <w:szCs w:val="26"/>
        </w:rPr>
        <w:t>needs to</w:t>
      </w:r>
      <w:r w:rsidR="000518DD" w:rsidRPr="00BE10AE">
        <w:rPr>
          <w:rFonts w:ascii="Garamond" w:hAnsi="Garamond"/>
          <w:sz w:val="26"/>
          <w:szCs w:val="26"/>
        </w:rPr>
        <w:t xml:space="preserve"> look</w:t>
      </w:r>
      <w:r w:rsidR="00470BDF" w:rsidRPr="00BE10AE">
        <w:rPr>
          <w:rFonts w:ascii="Garamond" w:hAnsi="Garamond"/>
          <w:sz w:val="26"/>
          <w:szCs w:val="26"/>
        </w:rPr>
        <w:t xml:space="preserve"> out</w:t>
      </w:r>
      <w:r w:rsidR="000518DD" w:rsidRPr="00BE10AE">
        <w:rPr>
          <w:rFonts w:ascii="Garamond" w:hAnsi="Garamond"/>
          <w:sz w:val="26"/>
          <w:szCs w:val="26"/>
        </w:rPr>
        <w:t xml:space="preserve"> for when </w:t>
      </w:r>
      <w:r w:rsidR="00381C5D" w:rsidRPr="00BE10AE">
        <w:rPr>
          <w:rFonts w:ascii="Garamond" w:hAnsi="Garamond"/>
          <w:sz w:val="26"/>
          <w:szCs w:val="26"/>
        </w:rPr>
        <w:t>a jury initially comes back deadlocked</w:t>
      </w:r>
      <w:r w:rsidR="000518DD" w:rsidRPr="00BE10AE">
        <w:rPr>
          <w:rFonts w:ascii="Garamond" w:hAnsi="Garamond"/>
          <w:sz w:val="26"/>
          <w:szCs w:val="26"/>
        </w:rPr>
        <w:t xml:space="preserve">. </w:t>
      </w:r>
    </w:p>
    <w:p w14:paraId="1DB6C8E8" w14:textId="6A45D094" w:rsidR="00EF1B87" w:rsidRPr="00BE10AE" w:rsidRDefault="00470BDF" w:rsidP="00381C5D">
      <w:pPr>
        <w:spacing w:line="360" w:lineRule="auto"/>
        <w:ind w:firstLine="360"/>
        <w:contextualSpacing/>
        <w:rPr>
          <w:rFonts w:ascii="Garamond" w:hAnsi="Garamond"/>
          <w:sz w:val="26"/>
          <w:szCs w:val="26"/>
        </w:rPr>
      </w:pPr>
      <w:r w:rsidRPr="00BE10AE">
        <w:rPr>
          <w:rFonts w:ascii="Garamond" w:hAnsi="Garamond"/>
          <w:sz w:val="26"/>
          <w:szCs w:val="26"/>
        </w:rPr>
        <w:t>Indeed, the law p</w:t>
      </w:r>
      <w:r w:rsidR="008220D6" w:rsidRPr="00BE10AE">
        <w:rPr>
          <w:rFonts w:ascii="Garamond" w:hAnsi="Garamond"/>
          <w:sz w:val="26"/>
          <w:szCs w:val="26"/>
        </w:rPr>
        <w:t>rovides limits on how judge</w:t>
      </w:r>
      <w:r w:rsidR="00DE2805">
        <w:rPr>
          <w:rFonts w:ascii="Garamond" w:hAnsi="Garamond"/>
          <w:sz w:val="26"/>
          <w:szCs w:val="26"/>
        </w:rPr>
        <w:t>s</w:t>
      </w:r>
      <w:r w:rsidR="008220D6" w:rsidRPr="00BE10AE">
        <w:rPr>
          <w:rFonts w:ascii="Garamond" w:hAnsi="Garamond"/>
          <w:sz w:val="26"/>
          <w:szCs w:val="26"/>
        </w:rPr>
        <w:t xml:space="preserve"> can address a deadlocked jury. </w:t>
      </w:r>
      <w:r w:rsidR="00381C5D" w:rsidRPr="00BE10AE">
        <w:rPr>
          <w:rFonts w:ascii="Garamond" w:hAnsi="Garamond"/>
          <w:sz w:val="26"/>
          <w:szCs w:val="26"/>
        </w:rPr>
        <w:t>A</w:t>
      </w:r>
      <w:r w:rsidR="00B50C75" w:rsidRPr="00BE10AE">
        <w:rPr>
          <w:rFonts w:ascii="Garamond" w:hAnsi="Garamond"/>
          <w:sz w:val="26"/>
          <w:szCs w:val="26"/>
        </w:rPr>
        <w:t xml:space="preserve"> trial court</w:t>
      </w:r>
      <w:r w:rsidR="004014E8" w:rsidRPr="00BE10AE">
        <w:rPr>
          <w:rFonts w:ascii="Garamond" w:hAnsi="Garamond"/>
          <w:sz w:val="26"/>
          <w:szCs w:val="26"/>
        </w:rPr>
        <w:t xml:space="preserve">, of course, </w:t>
      </w:r>
      <w:r w:rsidR="00B50C75" w:rsidRPr="00BE10AE">
        <w:rPr>
          <w:rFonts w:ascii="Garamond" w:hAnsi="Garamond"/>
          <w:sz w:val="26"/>
          <w:szCs w:val="26"/>
        </w:rPr>
        <w:t xml:space="preserve">cannot discharge a </w:t>
      </w:r>
      <w:r w:rsidR="00017D14" w:rsidRPr="00BE10AE">
        <w:rPr>
          <w:rFonts w:ascii="Garamond" w:hAnsi="Garamond"/>
          <w:sz w:val="26"/>
          <w:szCs w:val="26"/>
        </w:rPr>
        <w:t xml:space="preserve">deadlocked jury unless </w:t>
      </w:r>
      <w:r w:rsidR="00345E47" w:rsidRPr="00BE10AE">
        <w:rPr>
          <w:rFonts w:ascii="Garamond" w:hAnsi="Garamond"/>
          <w:sz w:val="26"/>
          <w:szCs w:val="26"/>
        </w:rPr>
        <w:t>“</w:t>
      </w:r>
      <w:r w:rsidR="008D769C" w:rsidRPr="00BE10AE">
        <w:rPr>
          <w:rFonts w:ascii="Garamond" w:hAnsi="Garamond"/>
          <w:sz w:val="26"/>
          <w:szCs w:val="26"/>
        </w:rPr>
        <w:t>it satisfactorily appears that there is no reasonable probability that the jury can agree.</w:t>
      </w:r>
      <w:r w:rsidR="00345E47" w:rsidRPr="00BE10AE">
        <w:rPr>
          <w:rFonts w:ascii="Garamond" w:hAnsi="Garamond"/>
          <w:sz w:val="26"/>
          <w:szCs w:val="26"/>
        </w:rPr>
        <w:t>”</w:t>
      </w:r>
      <w:r w:rsidR="008D769C" w:rsidRPr="00BE10AE">
        <w:rPr>
          <w:rFonts w:ascii="Garamond" w:hAnsi="Garamond"/>
          <w:sz w:val="26"/>
          <w:szCs w:val="26"/>
        </w:rPr>
        <w:t xml:space="preserve"> (Pen. Code </w:t>
      </w:r>
      <w:r w:rsidR="007E6A61" w:rsidRPr="00BE10AE">
        <w:rPr>
          <w:rFonts w:ascii="Garamond" w:hAnsi="Garamond"/>
          <w:sz w:val="26"/>
          <w:szCs w:val="26"/>
        </w:rPr>
        <w:t xml:space="preserve">§ </w:t>
      </w:r>
      <w:r w:rsidR="008D769C" w:rsidRPr="00BE10AE">
        <w:rPr>
          <w:rFonts w:ascii="Garamond" w:hAnsi="Garamond"/>
          <w:sz w:val="26"/>
          <w:szCs w:val="26"/>
        </w:rPr>
        <w:t xml:space="preserve">1140.) </w:t>
      </w:r>
      <w:r w:rsidR="00FC7A2C" w:rsidRPr="00BE10AE">
        <w:rPr>
          <w:rFonts w:ascii="Garamond" w:hAnsi="Garamond"/>
          <w:sz w:val="26"/>
          <w:szCs w:val="26"/>
        </w:rPr>
        <w:t>And</w:t>
      </w:r>
      <w:r w:rsidR="00854634" w:rsidRPr="00BE10AE">
        <w:rPr>
          <w:rFonts w:ascii="Garamond" w:hAnsi="Garamond"/>
          <w:sz w:val="26"/>
          <w:szCs w:val="26"/>
        </w:rPr>
        <w:t xml:space="preserve"> </w:t>
      </w:r>
      <w:r w:rsidR="004014E8" w:rsidRPr="00BE10AE">
        <w:rPr>
          <w:rFonts w:ascii="Garamond" w:hAnsi="Garamond"/>
          <w:sz w:val="26"/>
          <w:szCs w:val="26"/>
        </w:rPr>
        <w:t xml:space="preserve">the determination of </w:t>
      </w:r>
      <w:r w:rsidR="007E6A61" w:rsidRPr="00BE10AE">
        <w:rPr>
          <w:rFonts w:ascii="Garamond" w:hAnsi="Garamond"/>
          <w:sz w:val="26"/>
          <w:szCs w:val="26"/>
        </w:rPr>
        <w:t xml:space="preserve">whether the jury might </w:t>
      </w:r>
      <w:r w:rsidR="004014E8" w:rsidRPr="00BE10AE">
        <w:rPr>
          <w:rFonts w:ascii="Garamond" w:hAnsi="Garamond"/>
          <w:sz w:val="26"/>
          <w:szCs w:val="26"/>
        </w:rPr>
        <w:t>still be able to</w:t>
      </w:r>
      <w:r w:rsidR="007E6A61" w:rsidRPr="00BE10AE">
        <w:rPr>
          <w:rFonts w:ascii="Garamond" w:hAnsi="Garamond"/>
          <w:sz w:val="26"/>
          <w:szCs w:val="26"/>
        </w:rPr>
        <w:t xml:space="preserve"> reach a verdict</w:t>
      </w:r>
      <w:r w:rsidR="00FC7A2C" w:rsidRPr="00BE10AE">
        <w:rPr>
          <w:rFonts w:ascii="Garamond" w:hAnsi="Garamond"/>
          <w:sz w:val="26"/>
          <w:szCs w:val="26"/>
        </w:rPr>
        <w:t xml:space="preserve"> rests in the </w:t>
      </w:r>
      <w:r w:rsidR="007E6A61" w:rsidRPr="00BE10AE">
        <w:rPr>
          <w:rFonts w:ascii="Garamond" w:hAnsi="Garamond"/>
          <w:sz w:val="26"/>
          <w:szCs w:val="26"/>
        </w:rPr>
        <w:t>judge</w:t>
      </w:r>
      <w:r w:rsidR="00345E47" w:rsidRPr="00BE10AE">
        <w:rPr>
          <w:rFonts w:ascii="Garamond" w:hAnsi="Garamond"/>
          <w:sz w:val="26"/>
          <w:szCs w:val="26"/>
        </w:rPr>
        <w:t>’</w:t>
      </w:r>
      <w:r w:rsidR="007E6A61" w:rsidRPr="00BE10AE">
        <w:rPr>
          <w:rFonts w:ascii="Garamond" w:hAnsi="Garamond"/>
          <w:sz w:val="26"/>
          <w:szCs w:val="26"/>
        </w:rPr>
        <w:t>s discretion</w:t>
      </w:r>
      <w:r w:rsidR="00333183" w:rsidRPr="00BE10AE">
        <w:rPr>
          <w:rFonts w:ascii="Garamond" w:hAnsi="Garamond"/>
          <w:sz w:val="26"/>
          <w:szCs w:val="26"/>
        </w:rPr>
        <w:t>.</w:t>
      </w:r>
      <w:r w:rsidR="007E6A61" w:rsidRPr="00BE10AE">
        <w:rPr>
          <w:rFonts w:ascii="Garamond" w:hAnsi="Garamond"/>
          <w:sz w:val="26"/>
          <w:szCs w:val="26"/>
        </w:rPr>
        <w:t xml:space="preserve"> </w:t>
      </w:r>
      <w:r w:rsidR="00FC7A2C" w:rsidRPr="00BE10AE">
        <w:rPr>
          <w:rFonts w:ascii="Garamond" w:hAnsi="Garamond"/>
          <w:sz w:val="26"/>
          <w:szCs w:val="26"/>
        </w:rPr>
        <w:t>(</w:t>
      </w:r>
      <w:r w:rsidR="00FC7A2C" w:rsidRPr="00BE10AE">
        <w:rPr>
          <w:rFonts w:ascii="Garamond" w:hAnsi="Garamond"/>
          <w:i/>
          <w:iCs/>
          <w:sz w:val="26"/>
          <w:szCs w:val="26"/>
        </w:rPr>
        <w:t>People v. Rojas</w:t>
      </w:r>
      <w:r w:rsidR="00FC7A2C" w:rsidRPr="00BE10AE">
        <w:rPr>
          <w:rFonts w:ascii="Garamond" w:hAnsi="Garamond"/>
          <w:sz w:val="26"/>
          <w:szCs w:val="26"/>
        </w:rPr>
        <w:t xml:space="preserve"> (1975) 15 Cal.3d 540, 546</w:t>
      </w:r>
      <w:r w:rsidR="00333183" w:rsidRPr="00BE10AE">
        <w:rPr>
          <w:rFonts w:ascii="Garamond" w:hAnsi="Garamond"/>
          <w:sz w:val="26"/>
          <w:szCs w:val="26"/>
        </w:rPr>
        <w:t>.</w:t>
      </w:r>
      <w:r w:rsidR="00FC7A2C" w:rsidRPr="00BE10AE">
        <w:rPr>
          <w:rFonts w:ascii="Garamond" w:hAnsi="Garamond"/>
          <w:sz w:val="26"/>
          <w:szCs w:val="26"/>
        </w:rPr>
        <w:t>)</w:t>
      </w:r>
      <w:r w:rsidR="00333183" w:rsidRPr="00BE10AE">
        <w:rPr>
          <w:rFonts w:ascii="Garamond" w:hAnsi="Garamond"/>
          <w:sz w:val="26"/>
          <w:szCs w:val="26"/>
        </w:rPr>
        <w:t xml:space="preserve"> But </w:t>
      </w:r>
      <w:r w:rsidR="00233F17" w:rsidRPr="00BE10AE">
        <w:rPr>
          <w:rFonts w:ascii="Garamond" w:hAnsi="Garamond"/>
          <w:sz w:val="26"/>
          <w:szCs w:val="26"/>
        </w:rPr>
        <w:t xml:space="preserve">still, </w:t>
      </w:r>
      <w:r w:rsidR="00333183" w:rsidRPr="00BE10AE">
        <w:rPr>
          <w:rFonts w:ascii="Garamond" w:hAnsi="Garamond"/>
          <w:sz w:val="26"/>
          <w:szCs w:val="26"/>
        </w:rPr>
        <w:t>a</w:t>
      </w:r>
      <w:r w:rsidR="007E6A61" w:rsidRPr="00BE10AE">
        <w:rPr>
          <w:rFonts w:ascii="Garamond" w:hAnsi="Garamond"/>
          <w:sz w:val="26"/>
          <w:szCs w:val="26"/>
        </w:rPr>
        <w:t xml:space="preserve"> judge cannot coerce a jury into reaching a verdict</w:t>
      </w:r>
      <w:r w:rsidR="00CD53D0" w:rsidRPr="00BE10AE">
        <w:rPr>
          <w:rFonts w:ascii="Garamond" w:hAnsi="Garamond"/>
          <w:sz w:val="26"/>
          <w:szCs w:val="26"/>
        </w:rPr>
        <w:t xml:space="preserve">: that is, the judge may not suggest the jurors </w:t>
      </w:r>
      <w:r w:rsidR="00FC7A2C" w:rsidRPr="00BE10AE">
        <w:rPr>
          <w:rFonts w:ascii="Garamond" w:hAnsi="Garamond"/>
          <w:sz w:val="26"/>
          <w:szCs w:val="26"/>
        </w:rPr>
        <w:t>displac</w:t>
      </w:r>
      <w:r w:rsidR="00CD53D0" w:rsidRPr="00BE10AE">
        <w:rPr>
          <w:rFonts w:ascii="Garamond" w:hAnsi="Garamond"/>
          <w:sz w:val="26"/>
          <w:szCs w:val="26"/>
        </w:rPr>
        <w:t>e</w:t>
      </w:r>
      <w:r w:rsidR="00FC7A2C" w:rsidRPr="00BE10AE">
        <w:rPr>
          <w:rFonts w:ascii="Garamond" w:hAnsi="Garamond"/>
          <w:sz w:val="26"/>
          <w:szCs w:val="26"/>
        </w:rPr>
        <w:t xml:space="preserve"> </w:t>
      </w:r>
      <w:r w:rsidR="00CD53D0" w:rsidRPr="00BE10AE">
        <w:rPr>
          <w:rFonts w:ascii="Garamond" w:hAnsi="Garamond"/>
          <w:sz w:val="26"/>
          <w:szCs w:val="26"/>
        </w:rPr>
        <w:t>their</w:t>
      </w:r>
      <w:r w:rsidR="00FC7A2C" w:rsidRPr="00BE10AE">
        <w:rPr>
          <w:rFonts w:ascii="Garamond" w:hAnsi="Garamond"/>
          <w:sz w:val="26"/>
          <w:szCs w:val="26"/>
        </w:rPr>
        <w:t xml:space="preserve"> independent judgment </w:t>
      </w:r>
      <w:r w:rsidR="00345E47" w:rsidRPr="00BE10AE">
        <w:rPr>
          <w:rFonts w:ascii="Garamond" w:hAnsi="Garamond"/>
          <w:sz w:val="26"/>
          <w:szCs w:val="26"/>
        </w:rPr>
        <w:t>“</w:t>
      </w:r>
      <w:r w:rsidR="00FC7A2C" w:rsidRPr="00BE10AE">
        <w:rPr>
          <w:rFonts w:ascii="Garamond" w:hAnsi="Garamond"/>
          <w:sz w:val="26"/>
          <w:szCs w:val="26"/>
        </w:rPr>
        <w:t>in favor of considerations of compromise and expediency.</w:t>
      </w:r>
      <w:r w:rsidR="00345E47" w:rsidRPr="00BE10AE">
        <w:rPr>
          <w:rFonts w:ascii="Garamond" w:hAnsi="Garamond"/>
          <w:sz w:val="26"/>
          <w:szCs w:val="26"/>
        </w:rPr>
        <w:t>”</w:t>
      </w:r>
      <w:r w:rsidR="00FC7A2C" w:rsidRPr="00BE10AE">
        <w:rPr>
          <w:rFonts w:ascii="Garamond" w:hAnsi="Garamond"/>
          <w:sz w:val="26"/>
          <w:szCs w:val="26"/>
        </w:rPr>
        <w:t xml:space="preserve"> (</w:t>
      </w:r>
      <w:r w:rsidR="00FC7A2C" w:rsidRPr="00BE10AE">
        <w:rPr>
          <w:rFonts w:ascii="Garamond" w:hAnsi="Garamond"/>
          <w:i/>
          <w:iCs/>
          <w:sz w:val="26"/>
          <w:szCs w:val="26"/>
        </w:rPr>
        <w:t>People v. Carter</w:t>
      </w:r>
      <w:r w:rsidR="00FC7A2C" w:rsidRPr="00BE10AE">
        <w:rPr>
          <w:rFonts w:ascii="Garamond" w:hAnsi="Garamond"/>
          <w:sz w:val="26"/>
          <w:szCs w:val="26"/>
        </w:rPr>
        <w:t xml:space="preserve"> (1968) 68 Cal.2d 810, 817.)</w:t>
      </w:r>
      <w:r w:rsidR="0030750E" w:rsidRPr="00BE10AE">
        <w:rPr>
          <w:rFonts w:ascii="Garamond" w:hAnsi="Garamond"/>
          <w:sz w:val="26"/>
          <w:szCs w:val="26"/>
        </w:rPr>
        <w:t xml:space="preserve"> </w:t>
      </w:r>
      <w:r w:rsidR="00DD2291" w:rsidRPr="00BE10AE">
        <w:rPr>
          <w:rFonts w:ascii="Garamond" w:hAnsi="Garamond"/>
          <w:sz w:val="26"/>
          <w:szCs w:val="26"/>
        </w:rPr>
        <w:t xml:space="preserve">Courts </w:t>
      </w:r>
      <w:r w:rsidR="00E21203" w:rsidRPr="00BE10AE">
        <w:rPr>
          <w:rFonts w:ascii="Garamond" w:hAnsi="Garamond"/>
          <w:sz w:val="26"/>
          <w:szCs w:val="26"/>
        </w:rPr>
        <w:t>may not</w:t>
      </w:r>
      <w:r w:rsidR="00154581" w:rsidRPr="00BE10AE">
        <w:rPr>
          <w:rFonts w:ascii="Garamond" w:hAnsi="Garamond"/>
          <w:sz w:val="26"/>
          <w:szCs w:val="26"/>
        </w:rPr>
        <w:t xml:space="preserve"> </w:t>
      </w:r>
      <w:r w:rsidR="00345E47" w:rsidRPr="00BE10AE">
        <w:rPr>
          <w:rFonts w:ascii="Garamond" w:hAnsi="Garamond"/>
          <w:sz w:val="26"/>
          <w:szCs w:val="26"/>
        </w:rPr>
        <w:t>“</w:t>
      </w:r>
      <w:r w:rsidR="00154581" w:rsidRPr="00BE10AE">
        <w:rPr>
          <w:rFonts w:ascii="Garamond" w:hAnsi="Garamond"/>
          <w:sz w:val="26"/>
          <w:szCs w:val="26"/>
        </w:rPr>
        <w:t>inject illegitimate considerations into the jury debates</w:t>
      </w:r>
      <w:r w:rsidR="00345E47" w:rsidRPr="00BE10AE">
        <w:rPr>
          <w:rFonts w:ascii="Garamond" w:hAnsi="Garamond"/>
          <w:sz w:val="26"/>
          <w:szCs w:val="26"/>
        </w:rPr>
        <w:t>”</w:t>
      </w:r>
      <w:r w:rsidR="00931FE3" w:rsidRPr="00BE10AE">
        <w:rPr>
          <w:rFonts w:ascii="Garamond" w:hAnsi="Garamond"/>
          <w:sz w:val="26"/>
          <w:szCs w:val="26"/>
        </w:rPr>
        <w:t xml:space="preserve"> or </w:t>
      </w:r>
      <w:r w:rsidR="00345E47" w:rsidRPr="00BE10AE">
        <w:rPr>
          <w:rFonts w:ascii="Garamond" w:hAnsi="Garamond"/>
          <w:sz w:val="26"/>
          <w:szCs w:val="26"/>
        </w:rPr>
        <w:t>“</w:t>
      </w:r>
      <w:r w:rsidR="00154581" w:rsidRPr="00BE10AE">
        <w:rPr>
          <w:rFonts w:ascii="Garamond" w:hAnsi="Garamond"/>
          <w:sz w:val="26"/>
          <w:szCs w:val="26"/>
        </w:rPr>
        <w:t>appeal to dissenting jurors to abandon their own independent judgment</w:t>
      </w:r>
      <w:r w:rsidR="00931FE3" w:rsidRPr="00BE10AE">
        <w:rPr>
          <w:rFonts w:ascii="Garamond" w:hAnsi="Garamond"/>
          <w:sz w:val="26"/>
          <w:szCs w:val="26"/>
        </w:rPr>
        <w:t>.</w:t>
      </w:r>
      <w:r w:rsidR="00345E47" w:rsidRPr="00BE10AE">
        <w:rPr>
          <w:rFonts w:ascii="Garamond" w:hAnsi="Garamond"/>
          <w:sz w:val="26"/>
          <w:szCs w:val="26"/>
        </w:rPr>
        <w:t>”</w:t>
      </w:r>
      <w:r w:rsidR="00931FE3" w:rsidRPr="00BE10AE">
        <w:rPr>
          <w:rFonts w:ascii="Garamond" w:hAnsi="Garamond"/>
          <w:sz w:val="26"/>
          <w:szCs w:val="26"/>
        </w:rPr>
        <w:t xml:space="preserve"> (</w:t>
      </w:r>
      <w:r w:rsidR="00931FE3" w:rsidRPr="00BE10AE">
        <w:rPr>
          <w:rFonts w:ascii="Garamond" w:hAnsi="Garamond"/>
          <w:i/>
          <w:iCs/>
          <w:sz w:val="26"/>
          <w:szCs w:val="26"/>
        </w:rPr>
        <w:t>People v. Bryant, Smith and Wheeler</w:t>
      </w:r>
      <w:r w:rsidR="00931FE3" w:rsidRPr="00BE10AE">
        <w:rPr>
          <w:rFonts w:ascii="Garamond" w:hAnsi="Garamond"/>
          <w:sz w:val="26"/>
          <w:szCs w:val="26"/>
        </w:rPr>
        <w:t xml:space="preserve"> (2014) 60 Cal.4th 335, 461 (</w:t>
      </w:r>
      <w:r w:rsidR="00931FE3" w:rsidRPr="00BE10AE">
        <w:rPr>
          <w:rFonts w:ascii="Garamond" w:hAnsi="Garamond"/>
          <w:i/>
          <w:iCs/>
          <w:sz w:val="26"/>
          <w:szCs w:val="26"/>
        </w:rPr>
        <w:t>Bryant</w:t>
      </w:r>
      <w:r w:rsidR="00931FE3" w:rsidRPr="00BE10AE">
        <w:rPr>
          <w:rFonts w:ascii="Garamond" w:hAnsi="Garamond"/>
          <w:sz w:val="26"/>
          <w:szCs w:val="26"/>
        </w:rPr>
        <w:t xml:space="preserve">).) </w:t>
      </w:r>
      <w:r w:rsidR="00154581" w:rsidRPr="00BE10AE">
        <w:rPr>
          <w:rFonts w:ascii="Garamond" w:hAnsi="Garamond"/>
          <w:sz w:val="26"/>
          <w:szCs w:val="26"/>
        </w:rPr>
        <w:t xml:space="preserve"> </w:t>
      </w:r>
      <w:r w:rsidR="00931FE3" w:rsidRPr="00BE10AE">
        <w:rPr>
          <w:rFonts w:ascii="Garamond" w:hAnsi="Garamond"/>
          <w:sz w:val="26"/>
          <w:szCs w:val="26"/>
        </w:rPr>
        <w:t>The court must not put</w:t>
      </w:r>
      <w:r w:rsidR="00154581" w:rsidRPr="00BE10AE">
        <w:rPr>
          <w:rFonts w:ascii="Garamond" w:hAnsi="Garamond"/>
          <w:sz w:val="26"/>
          <w:szCs w:val="26"/>
        </w:rPr>
        <w:t xml:space="preserve"> </w:t>
      </w:r>
      <w:r w:rsidR="00345E47" w:rsidRPr="00BE10AE">
        <w:rPr>
          <w:rFonts w:ascii="Garamond" w:hAnsi="Garamond"/>
          <w:sz w:val="26"/>
          <w:szCs w:val="26"/>
        </w:rPr>
        <w:t>“</w:t>
      </w:r>
      <w:r w:rsidR="00154581" w:rsidRPr="00BE10AE">
        <w:rPr>
          <w:rFonts w:ascii="Garamond" w:hAnsi="Garamond"/>
          <w:sz w:val="26"/>
          <w:szCs w:val="26"/>
        </w:rPr>
        <w:t>excessive pressure on the dissenting jurors to acquiesce in a verdict.</w:t>
      </w:r>
      <w:r w:rsidR="00345E47" w:rsidRPr="00BE10AE">
        <w:rPr>
          <w:rFonts w:ascii="Garamond" w:hAnsi="Garamond"/>
          <w:sz w:val="26"/>
          <w:szCs w:val="26"/>
        </w:rPr>
        <w:t>”</w:t>
      </w:r>
      <w:r w:rsidR="00931FE3" w:rsidRPr="00BE10AE">
        <w:rPr>
          <w:rFonts w:ascii="Garamond" w:hAnsi="Garamond"/>
          <w:sz w:val="26"/>
          <w:szCs w:val="26"/>
        </w:rPr>
        <w:t xml:space="preserve"> (</w:t>
      </w:r>
      <w:r w:rsidR="00931FE3" w:rsidRPr="00BE10AE">
        <w:rPr>
          <w:rFonts w:ascii="Garamond" w:hAnsi="Garamond"/>
          <w:i/>
          <w:iCs/>
          <w:sz w:val="26"/>
          <w:szCs w:val="26"/>
        </w:rPr>
        <w:t>Ibid</w:t>
      </w:r>
      <w:r w:rsidR="00931FE3" w:rsidRPr="00BE10AE">
        <w:rPr>
          <w:rFonts w:ascii="Garamond" w:hAnsi="Garamond"/>
          <w:sz w:val="26"/>
          <w:szCs w:val="26"/>
        </w:rPr>
        <w:t>.)</w:t>
      </w:r>
      <w:r w:rsidR="00154581" w:rsidRPr="00BE10AE">
        <w:rPr>
          <w:rFonts w:ascii="Garamond" w:hAnsi="Garamond"/>
          <w:sz w:val="26"/>
          <w:szCs w:val="26"/>
        </w:rPr>
        <w:t xml:space="preserve"> </w:t>
      </w:r>
    </w:p>
    <w:p w14:paraId="45264415" w14:textId="4C461613" w:rsidR="00B92DF2" w:rsidRPr="00BE10AE" w:rsidRDefault="00B92DF2" w:rsidP="00B92DF2">
      <w:pPr>
        <w:spacing w:line="360" w:lineRule="auto"/>
        <w:ind w:firstLine="360"/>
        <w:contextualSpacing/>
        <w:rPr>
          <w:rFonts w:ascii="Garamond" w:hAnsi="Garamond"/>
          <w:sz w:val="26"/>
          <w:szCs w:val="26"/>
        </w:rPr>
      </w:pPr>
      <w:r w:rsidRPr="00BE10AE">
        <w:rPr>
          <w:rFonts w:ascii="Garamond" w:hAnsi="Garamond"/>
          <w:sz w:val="26"/>
          <w:szCs w:val="26"/>
        </w:rPr>
        <w:t xml:space="preserve">When confronted with </w:t>
      </w:r>
      <w:r w:rsidR="00EC749A" w:rsidRPr="00BE10AE">
        <w:rPr>
          <w:rFonts w:ascii="Garamond" w:hAnsi="Garamond"/>
          <w:sz w:val="26"/>
          <w:szCs w:val="26"/>
        </w:rPr>
        <w:t>a deadlocked jury</w:t>
      </w:r>
      <w:r w:rsidRPr="00BE10AE">
        <w:rPr>
          <w:rFonts w:ascii="Garamond" w:hAnsi="Garamond"/>
          <w:sz w:val="26"/>
          <w:szCs w:val="26"/>
        </w:rPr>
        <w:t>, a trial court may ask the jurors about their numerical division</w:t>
      </w:r>
      <w:r w:rsidR="00EC749A" w:rsidRPr="00BE10AE">
        <w:rPr>
          <w:rFonts w:ascii="Garamond" w:hAnsi="Garamond"/>
          <w:sz w:val="26"/>
          <w:szCs w:val="26"/>
        </w:rPr>
        <w:t>,</w:t>
      </w:r>
      <w:r w:rsidRPr="00BE10AE">
        <w:rPr>
          <w:rFonts w:ascii="Garamond" w:hAnsi="Garamond"/>
          <w:sz w:val="26"/>
          <w:szCs w:val="26"/>
        </w:rPr>
        <w:t xml:space="preserve"> but </w:t>
      </w:r>
      <w:r w:rsidR="00EC749A" w:rsidRPr="00BE10AE">
        <w:rPr>
          <w:rFonts w:ascii="Garamond" w:hAnsi="Garamond"/>
          <w:sz w:val="26"/>
          <w:szCs w:val="26"/>
        </w:rPr>
        <w:t>it should not try</w:t>
      </w:r>
      <w:r w:rsidRPr="00BE10AE">
        <w:rPr>
          <w:rFonts w:ascii="Garamond" w:hAnsi="Garamond"/>
          <w:sz w:val="26"/>
          <w:szCs w:val="26"/>
        </w:rPr>
        <w:t xml:space="preserve"> to elicit the number of jurors in favor of acquittal and how many are for conviction. (</w:t>
      </w:r>
      <w:r w:rsidRPr="00BE10AE">
        <w:rPr>
          <w:rFonts w:ascii="Garamond" w:hAnsi="Garamond"/>
          <w:i/>
          <w:iCs/>
          <w:sz w:val="26"/>
          <w:szCs w:val="26"/>
        </w:rPr>
        <w:t>People v. Carter</w:t>
      </w:r>
      <w:r w:rsidRPr="00BE10AE">
        <w:rPr>
          <w:rFonts w:ascii="Garamond" w:hAnsi="Garamond"/>
          <w:sz w:val="26"/>
          <w:szCs w:val="26"/>
        </w:rPr>
        <w:t xml:space="preserve"> (1968) 68 Cal.2d 810.)  The court may also question individual jurors as to the probability of agreement.  (</w:t>
      </w:r>
      <w:r w:rsidRPr="00BE10AE">
        <w:rPr>
          <w:rFonts w:ascii="Garamond" w:hAnsi="Garamond"/>
          <w:i/>
          <w:iCs/>
          <w:sz w:val="26"/>
          <w:szCs w:val="26"/>
        </w:rPr>
        <w:t>Id</w:t>
      </w:r>
      <w:r w:rsidR="00EC749A" w:rsidRPr="00BE10AE">
        <w:rPr>
          <w:rFonts w:ascii="Garamond" w:hAnsi="Garamond"/>
          <w:sz w:val="26"/>
          <w:szCs w:val="26"/>
        </w:rPr>
        <w:t>.</w:t>
      </w:r>
      <w:r w:rsidRPr="00BE10AE">
        <w:rPr>
          <w:rFonts w:ascii="Garamond" w:hAnsi="Garamond"/>
          <w:sz w:val="26"/>
          <w:szCs w:val="26"/>
        </w:rPr>
        <w:t xml:space="preserve"> at p. 815.)  If the court believes </w:t>
      </w:r>
      <w:r w:rsidR="00C33A1E" w:rsidRPr="00BE10AE">
        <w:rPr>
          <w:rFonts w:ascii="Garamond" w:hAnsi="Garamond"/>
          <w:sz w:val="26"/>
          <w:szCs w:val="26"/>
        </w:rPr>
        <w:t>the jury might still reach a verdict</w:t>
      </w:r>
      <w:r w:rsidRPr="00BE10AE">
        <w:rPr>
          <w:rFonts w:ascii="Garamond" w:hAnsi="Garamond"/>
          <w:sz w:val="26"/>
          <w:szCs w:val="26"/>
        </w:rPr>
        <w:t xml:space="preserve">, it may </w:t>
      </w:r>
      <w:r w:rsidR="00C33A1E" w:rsidRPr="00BE10AE">
        <w:rPr>
          <w:rFonts w:ascii="Garamond" w:hAnsi="Garamond"/>
          <w:sz w:val="26"/>
          <w:szCs w:val="26"/>
        </w:rPr>
        <w:t>try</w:t>
      </w:r>
      <w:r w:rsidRPr="00BE10AE">
        <w:rPr>
          <w:rFonts w:ascii="Garamond" w:hAnsi="Garamond"/>
          <w:sz w:val="26"/>
          <w:szCs w:val="26"/>
        </w:rPr>
        <w:t xml:space="preserve"> to promote consensus</w:t>
      </w:r>
      <w:r w:rsidR="00C33A1E" w:rsidRPr="00BE10AE">
        <w:rPr>
          <w:rFonts w:ascii="Garamond" w:hAnsi="Garamond"/>
          <w:sz w:val="26"/>
          <w:szCs w:val="26"/>
        </w:rPr>
        <w:t>. But</w:t>
      </w:r>
      <w:r w:rsidRPr="00BE10AE">
        <w:rPr>
          <w:rFonts w:ascii="Garamond" w:hAnsi="Garamond"/>
          <w:sz w:val="26"/>
          <w:szCs w:val="26"/>
        </w:rPr>
        <w:t xml:space="preserve"> it must </w:t>
      </w:r>
      <w:r w:rsidR="006A33A0" w:rsidRPr="00BE10AE">
        <w:rPr>
          <w:rFonts w:ascii="Garamond" w:hAnsi="Garamond"/>
          <w:sz w:val="26"/>
          <w:szCs w:val="26"/>
        </w:rPr>
        <w:t>be careful not to coerce the juro</w:t>
      </w:r>
      <w:r w:rsidR="00DE7459">
        <w:rPr>
          <w:rFonts w:ascii="Garamond" w:hAnsi="Garamond"/>
          <w:sz w:val="26"/>
          <w:szCs w:val="26"/>
        </w:rPr>
        <w:t>r</w:t>
      </w:r>
      <w:r w:rsidR="006A33A0" w:rsidRPr="00BE10AE">
        <w:rPr>
          <w:rFonts w:ascii="Garamond" w:hAnsi="Garamond"/>
          <w:sz w:val="26"/>
          <w:szCs w:val="26"/>
        </w:rPr>
        <w:t>s</w:t>
      </w:r>
      <w:r w:rsidRPr="00BE10AE">
        <w:rPr>
          <w:rFonts w:ascii="Garamond" w:hAnsi="Garamond"/>
          <w:sz w:val="26"/>
          <w:szCs w:val="26"/>
        </w:rPr>
        <w:t>.  (</w:t>
      </w:r>
      <w:r w:rsidRPr="00BE10AE">
        <w:rPr>
          <w:rFonts w:ascii="Garamond" w:hAnsi="Garamond"/>
          <w:i/>
          <w:iCs/>
          <w:sz w:val="26"/>
          <w:szCs w:val="26"/>
        </w:rPr>
        <w:t>Id</w:t>
      </w:r>
      <w:r w:rsidRPr="00BE10AE">
        <w:rPr>
          <w:rFonts w:ascii="Garamond" w:hAnsi="Garamond"/>
          <w:sz w:val="26"/>
          <w:szCs w:val="26"/>
        </w:rPr>
        <w:t xml:space="preserve">. at pp. 815-816.)  </w:t>
      </w:r>
      <w:r w:rsidR="00345E47" w:rsidRPr="00BE10AE">
        <w:rPr>
          <w:rFonts w:ascii="Garamond" w:hAnsi="Garamond"/>
          <w:sz w:val="26"/>
          <w:szCs w:val="26"/>
        </w:rPr>
        <w:t>“</w:t>
      </w:r>
      <w:r w:rsidRPr="00BE10AE">
        <w:rPr>
          <w:rFonts w:ascii="Garamond" w:hAnsi="Garamond"/>
          <w:sz w:val="26"/>
          <w:szCs w:val="26"/>
        </w:rPr>
        <w:t>Any intervention must be conducted with care so as to minimize pressure on legitimate minority jurors.</w:t>
      </w:r>
      <w:r w:rsidR="00345E47" w:rsidRPr="00BE10AE">
        <w:rPr>
          <w:rFonts w:ascii="Garamond" w:hAnsi="Garamond"/>
          <w:sz w:val="26"/>
          <w:szCs w:val="26"/>
        </w:rPr>
        <w:t>”</w:t>
      </w:r>
      <w:r w:rsidRPr="00BE10AE">
        <w:rPr>
          <w:rFonts w:ascii="Garamond" w:hAnsi="Garamond"/>
          <w:sz w:val="26"/>
          <w:szCs w:val="26"/>
        </w:rPr>
        <w:t xml:space="preserve">  (</w:t>
      </w:r>
      <w:r w:rsidRPr="00BE10AE">
        <w:rPr>
          <w:rFonts w:ascii="Garamond" w:hAnsi="Garamond"/>
          <w:i/>
          <w:iCs/>
          <w:sz w:val="26"/>
          <w:szCs w:val="26"/>
        </w:rPr>
        <w:t>People v. Burgener</w:t>
      </w:r>
      <w:r w:rsidRPr="00BE10AE">
        <w:rPr>
          <w:rFonts w:ascii="Garamond" w:hAnsi="Garamond"/>
          <w:sz w:val="26"/>
          <w:szCs w:val="26"/>
        </w:rPr>
        <w:t xml:space="preserve"> (1986) 41 Cal.3d 505, 519-520, overruled on other grounds in </w:t>
      </w:r>
      <w:r w:rsidRPr="00BE10AE">
        <w:rPr>
          <w:rFonts w:ascii="Garamond" w:hAnsi="Garamond"/>
          <w:i/>
          <w:iCs/>
          <w:sz w:val="26"/>
          <w:szCs w:val="26"/>
        </w:rPr>
        <w:t>People v. Reyes</w:t>
      </w:r>
      <w:r w:rsidRPr="00BE10AE">
        <w:rPr>
          <w:rFonts w:ascii="Garamond" w:hAnsi="Garamond"/>
          <w:sz w:val="26"/>
          <w:szCs w:val="26"/>
        </w:rPr>
        <w:t xml:space="preserve"> (1998) 19 Cal.4th 743, 753; see also, </w:t>
      </w:r>
      <w:r w:rsidRPr="00BE10AE">
        <w:rPr>
          <w:rFonts w:ascii="Garamond" w:hAnsi="Garamond"/>
          <w:i/>
          <w:iCs/>
          <w:sz w:val="26"/>
          <w:szCs w:val="26"/>
        </w:rPr>
        <w:t>People v. Haskett</w:t>
      </w:r>
      <w:r w:rsidRPr="00BE10AE">
        <w:rPr>
          <w:rFonts w:ascii="Garamond" w:hAnsi="Garamond"/>
          <w:sz w:val="26"/>
          <w:szCs w:val="26"/>
        </w:rPr>
        <w:t xml:space="preserve"> (1990) 52 Cal.3d 210, 238.) </w:t>
      </w:r>
    </w:p>
    <w:p w14:paraId="46BE1981" w14:textId="0D7FE98A" w:rsidR="00854634" w:rsidRPr="00BE10AE" w:rsidRDefault="00B92DF2" w:rsidP="003D3BE9">
      <w:pPr>
        <w:spacing w:line="360" w:lineRule="auto"/>
        <w:ind w:firstLine="360"/>
        <w:contextualSpacing/>
        <w:rPr>
          <w:rFonts w:ascii="Garamond" w:hAnsi="Garamond"/>
          <w:sz w:val="26"/>
          <w:szCs w:val="26"/>
        </w:rPr>
      </w:pPr>
      <w:r w:rsidRPr="00BE10AE">
        <w:rPr>
          <w:rFonts w:ascii="Garamond" w:hAnsi="Garamond"/>
          <w:sz w:val="26"/>
          <w:szCs w:val="26"/>
        </w:rPr>
        <w:t xml:space="preserve"> Whether a trial court</w:t>
      </w:r>
      <w:r w:rsidR="00345E47" w:rsidRPr="00BE10AE">
        <w:rPr>
          <w:rFonts w:ascii="Garamond" w:hAnsi="Garamond"/>
          <w:sz w:val="26"/>
          <w:szCs w:val="26"/>
        </w:rPr>
        <w:t>’</w:t>
      </w:r>
      <w:r w:rsidRPr="00BE10AE">
        <w:rPr>
          <w:rFonts w:ascii="Garamond" w:hAnsi="Garamond"/>
          <w:sz w:val="26"/>
          <w:szCs w:val="26"/>
        </w:rPr>
        <w:t xml:space="preserve">s statements to the jury amount to coercion of the verdict is </w:t>
      </w:r>
      <w:r w:rsidR="00345E47" w:rsidRPr="00BE10AE">
        <w:rPr>
          <w:rFonts w:ascii="Garamond" w:hAnsi="Garamond"/>
          <w:sz w:val="26"/>
          <w:szCs w:val="26"/>
        </w:rPr>
        <w:t>“</w:t>
      </w:r>
      <w:r w:rsidRPr="00BE10AE">
        <w:rPr>
          <w:rFonts w:ascii="Garamond" w:hAnsi="Garamond"/>
          <w:sz w:val="26"/>
          <w:szCs w:val="26"/>
        </w:rPr>
        <w:t>peculiarly dependent upon the facts of each case</w:t>
      </w:r>
      <w:r w:rsidR="00345E47" w:rsidRPr="00BE10AE">
        <w:rPr>
          <w:rFonts w:ascii="Garamond" w:hAnsi="Garamond"/>
          <w:sz w:val="26"/>
          <w:szCs w:val="26"/>
        </w:rPr>
        <w:t>”</w:t>
      </w:r>
      <w:r w:rsidRPr="00BE10AE">
        <w:rPr>
          <w:rFonts w:ascii="Garamond" w:hAnsi="Garamond"/>
          <w:sz w:val="26"/>
          <w:szCs w:val="26"/>
        </w:rPr>
        <w:t xml:space="preserve"> (</w:t>
      </w:r>
      <w:r w:rsidRPr="00BE10AE">
        <w:rPr>
          <w:rFonts w:ascii="Garamond" w:hAnsi="Garamond"/>
          <w:i/>
          <w:iCs/>
          <w:sz w:val="26"/>
          <w:szCs w:val="26"/>
        </w:rPr>
        <w:t>People v. Burton</w:t>
      </w:r>
      <w:r w:rsidRPr="00BE10AE">
        <w:rPr>
          <w:rFonts w:ascii="Garamond" w:hAnsi="Garamond"/>
          <w:sz w:val="26"/>
          <w:szCs w:val="26"/>
        </w:rPr>
        <w:t xml:space="preserve"> (1961) 55 Cal.2d 328, 356) viewed against the </w:t>
      </w:r>
      <w:r w:rsidR="00345E47" w:rsidRPr="00BE10AE">
        <w:rPr>
          <w:rFonts w:ascii="Garamond" w:hAnsi="Garamond"/>
          <w:sz w:val="26"/>
          <w:szCs w:val="26"/>
        </w:rPr>
        <w:t>“</w:t>
      </w:r>
      <w:r w:rsidRPr="00BE10AE">
        <w:rPr>
          <w:rFonts w:ascii="Garamond" w:hAnsi="Garamond"/>
          <w:sz w:val="26"/>
          <w:szCs w:val="26"/>
        </w:rPr>
        <w:t>totality of applicable circumstances.</w:t>
      </w:r>
      <w:r w:rsidR="00345E47" w:rsidRPr="00BE10AE">
        <w:rPr>
          <w:rFonts w:ascii="Garamond" w:hAnsi="Garamond"/>
          <w:sz w:val="26"/>
          <w:szCs w:val="26"/>
        </w:rPr>
        <w:t>”</w:t>
      </w:r>
      <w:r w:rsidRPr="00BE10AE">
        <w:rPr>
          <w:rFonts w:ascii="Garamond" w:hAnsi="Garamond"/>
          <w:sz w:val="26"/>
          <w:szCs w:val="26"/>
        </w:rPr>
        <w:t xml:space="preserve">  (</w:t>
      </w:r>
      <w:r w:rsidRPr="00BE10AE">
        <w:rPr>
          <w:rFonts w:ascii="Garamond" w:hAnsi="Garamond"/>
          <w:i/>
          <w:iCs/>
          <w:sz w:val="26"/>
          <w:szCs w:val="26"/>
        </w:rPr>
        <w:t>Carter</w:t>
      </w:r>
      <w:r w:rsidRPr="00BE10AE">
        <w:rPr>
          <w:rFonts w:ascii="Garamond" w:hAnsi="Garamond"/>
          <w:sz w:val="26"/>
          <w:szCs w:val="26"/>
        </w:rPr>
        <w:t xml:space="preserve">, </w:t>
      </w:r>
      <w:r w:rsidRPr="00BE10AE">
        <w:rPr>
          <w:rFonts w:ascii="Garamond" w:hAnsi="Garamond"/>
          <w:i/>
          <w:iCs/>
          <w:sz w:val="26"/>
          <w:szCs w:val="26"/>
        </w:rPr>
        <w:t>supra</w:t>
      </w:r>
      <w:r w:rsidRPr="00BE10AE">
        <w:rPr>
          <w:rFonts w:ascii="Garamond" w:hAnsi="Garamond"/>
          <w:sz w:val="26"/>
          <w:szCs w:val="26"/>
        </w:rPr>
        <w:t xml:space="preserve">, 68 Cal.2d at p. 817.)  </w:t>
      </w:r>
      <w:r w:rsidR="009A7D46" w:rsidRPr="00BE10AE">
        <w:rPr>
          <w:rFonts w:ascii="Garamond" w:hAnsi="Garamond"/>
          <w:sz w:val="26"/>
          <w:szCs w:val="26"/>
        </w:rPr>
        <w:t xml:space="preserve">If the trial is short, the issues are simple, and </w:t>
      </w:r>
      <w:r w:rsidR="006B0532" w:rsidRPr="00BE10AE">
        <w:rPr>
          <w:rFonts w:ascii="Garamond" w:hAnsi="Garamond"/>
          <w:sz w:val="26"/>
          <w:szCs w:val="26"/>
        </w:rPr>
        <w:t>the jury doesn</w:t>
      </w:r>
      <w:r w:rsidR="00345E47" w:rsidRPr="00BE10AE">
        <w:rPr>
          <w:rFonts w:ascii="Garamond" w:hAnsi="Garamond"/>
          <w:sz w:val="26"/>
          <w:szCs w:val="26"/>
        </w:rPr>
        <w:t>’</w:t>
      </w:r>
      <w:r w:rsidR="006B0532" w:rsidRPr="00BE10AE">
        <w:rPr>
          <w:rFonts w:ascii="Garamond" w:hAnsi="Garamond"/>
          <w:sz w:val="26"/>
          <w:szCs w:val="26"/>
        </w:rPr>
        <w:t>t seem to need further instructions to understand the issues</w:t>
      </w:r>
      <w:r w:rsidRPr="00BE10AE">
        <w:rPr>
          <w:rFonts w:ascii="Garamond" w:hAnsi="Garamond"/>
          <w:sz w:val="26"/>
          <w:szCs w:val="26"/>
        </w:rPr>
        <w:t xml:space="preserve">, </w:t>
      </w:r>
      <w:r w:rsidR="006B0532" w:rsidRPr="00BE10AE">
        <w:rPr>
          <w:rFonts w:ascii="Garamond" w:hAnsi="Garamond"/>
          <w:sz w:val="26"/>
          <w:szCs w:val="26"/>
        </w:rPr>
        <w:t xml:space="preserve">an </w:t>
      </w:r>
      <w:r w:rsidRPr="00BE10AE">
        <w:rPr>
          <w:rFonts w:ascii="Garamond" w:hAnsi="Garamond"/>
          <w:sz w:val="26"/>
          <w:szCs w:val="26"/>
        </w:rPr>
        <w:t xml:space="preserve">instruction to continue deliberating </w:t>
      </w:r>
      <w:r w:rsidR="00413BCF" w:rsidRPr="00BE10AE">
        <w:rPr>
          <w:rFonts w:ascii="Garamond" w:hAnsi="Garamond"/>
          <w:sz w:val="26"/>
          <w:szCs w:val="26"/>
        </w:rPr>
        <w:t>may be coercive insofar as it would suggest the minority jurors must change their minds to reach the verdict.</w:t>
      </w:r>
      <w:r w:rsidRPr="00BE10AE">
        <w:rPr>
          <w:rFonts w:ascii="Garamond" w:hAnsi="Garamond"/>
          <w:sz w:val="26"/>
          <w:szCs w:val="26"/>
        </w:rPr>
        <w:t xml:space="preserve"> (</w:t>
      </w:r>
      <w:r w:rsidRPr="00BE10AE">
        <w:rPr>
          <w:rFonts w:ascii="Garamond" w:hAnsi="Garamond"/>
          <w:i/>
          <w:iCs/>
          <w:sz w:val="26"/>
          <w:szCs w:val="26"/>
        </w:rPr>
        <w:t>People v. Rodriguez</w:t>
      </w:r>
      <w:r w:rsidRPr="00BE10AE">
        <w:rPr>
          <w:rFonts w:ascii="Garamond" w:hAnsi="Garamond"/>
          <w:sz w:val="26"/>
          <w:szCs w:val="26"/>
        </w:rPr>
        <w:t xml:space="preserve"> (1986) 42 Cal.3d 730, 775.)  </w:t>
      </w:r>
      <w:r w:rsidR="00034E05" w:rsidRPr="00BE10AE">
        <w:rPr>
          <w:rFonts w:ascii="Garamond" w:hAnsi="Garamond"/>
          <w:sz w:val="26"/>
          <w:szCs w:val="26"/>
        </w:rPr>
        <w:t>In litigating a potentially coerced</w:t>
      </w:r>
      <w:r w:rsidR="00B60375" w:rsidRPr="00BE10AE">
        <w:rPr>
          <w:rFonts w:ascii="Garamond" w:hAnsi="Garamond"/>
          <w:sz w:val="26"/>
          <w:szCs w:val="26"/>
        </w:rPr>
        <w:t xml:space="preserve"> verdict, appellate counsel should focus on</w:t>
      </w:r>
      <w:r w:rsidRPr="00BE10AE">
        <w:rPr>
          <w:rFonts w:ascii="Garamond" w:hAnsi="Garamond"/>
          <w:sz w:val="26"/>
          <w:szCs w:val="26"/>
        </w:rPr>
        <w:t xml:space="preserve"> whether the court</w:t>
      </w:r>
      <w:r w:rsidR="00345E47" w:rsidRPr="00BE10AE">
        <w:rPr>
          <w:rFonts w:ascii="Garamond" w:hAnsi="Garamond"/>
          <w:sz w:val="26"/>
          <w:szCs w:val="26"/>
        </w:rPr>
        <w:t>’</w:t>
      </w:r>
      <w:r w:rsidRPr="00BE10AE">
        <w:rPr>
          <w:rFonts w:ascii="Garamond" w:hAnsi="Garamond"/>
          <w:sz w:val="26"/>
          <w:szCs w:val="26"/>
        </w:rPr>
        <w:t>s statements could be interpreted as exerting undue pressure on any juror, particularly those in the minority.  (</w:t>
      </w:r>
      <w:r w:rsidRPr="00BE10AE">
        <w:rPr>
          <w:rFonts w:ascii="Garamond" w:hAnsi="Garamond"/>
          <w:i/>
          <w:iCs/>
          <w:sz w:val="26"/>
          <w:szCs w:val="26"/>
        </w:rPr>
        <w:t>People v. Breaux</w:t>
      </w:r>
      <w:r w:rsidRPr="00BE10AE">
        <w:rPr>
          <w:rFonts w:ascii="Garamond" w:hAnsi="Garamond"/>
          <w:sz w:val="26"/>
          <w:szCs w:val="26"/>
        </w:rPr>
        <w:t xml:space="preserve"> (1991) 1 Cal.4th 281, 320.) </w:t>
      </w:r>
      <w:r w:rsidR="00B04731" w:rsidRPr="00BE10AE">
        <w:rPr>
          <w:rFonts w:ascii="Garamond" w:hAnsi="Garamond"/>
          <w:sz w:val="26"/>
          <w:szCs w:val="26"/>
        </w:rPr>
        <w:t>In particular, courts have found c</w:t>
      </w:r>
      <w:r w:rsidR="00150B04" w:rsidRPr="00BE10AE">
        <w:rPr>
          <w:rFonts w:ascii="Garamond" w:hAnsi="Garamond"/>
          <w:sz w:val="26"/>
          <w:szCs w:val="26"/>
        </w:rPr>
        <w:t>oercion where the trial court, by insisting on further deliberations, expressed an opinion that a verdict should be reached. (</w:t>
      </w:r>
      <w:r w:rsidR="00150B04" w:rsidRPr="00BE10AE">
        <w:rPr>
          <w:rFonts w:ascii="Garamond" w:hAnsi="Garamond"/>
          <w:i/>
          <w:iCs/>
          <w:sz w:val="26"/>
          <w:szCs w:val="26"/>
        </w:rPr>
        <w:t>People v. Crossland</w:t>
      </w:r>
      <w:r w:rsidR="00150B04" w:rsidRPr="00BE10AE">
        <w:rPr>
          <w:rFonts w:ascii="Garamond" w:hAnsi="Garamond"/>
          <w:sz w:val="26"/>
          <w:szCs w:val="26"/>
        </w:rPr>
        <w:t xml:space="preserve"> (1960) 182 Cal.App.2d 117, 119; </w:t>
      </w:r>
      <w:r w:rsidR="00150B04" w:rsidRPr="00BE10AE">
        <w:rPr>
          <w:rFonts w:ascii="Garamond" w:hAnsi="Garamond"/>
          <w:i/>
          <w:iCs/>
          <w:sz w:val="26"/>
          <w:szCs w:val="26"/>
        </w:rPr>
        <w:t>People v. Crowley</w:t>
      </w:r>
      <w:r w:rsidR="00150B04" w:rsidRPr="00BE10AE">
        <w:rPr>
          <w:rFonts w:ascii="Garamond" w:hAnsi="Garamond"/>
          <w:sz w:val="26"/>
          <w:szCs w:val="26"/>
        </w:rPr>
        <w:t xml:space="preserve"> (1950) 101 Cal.App.2d 71, 75.) Threats to lock up the jury, or to prolong its deliberations indefinitely also constitute coercion. (See </w:t>
      </w:r>
      <w:r w:rsidR="00150B04" w:rsidRPr="00BE10AE">
        <w:rPr>
          <w:rFonts w:ascii="Garamond" w:hAnsi="Garamond"/>
          <w:i/>
          <w:iCs/>
          <w:sz w:val="26"/>
          <w:szCs w:val="26"/>
        </w:rPr>
        <w:t>Carter</w:t>
      </w:r>
      <w:r w:rsidR="00150B04" w:rsidRPr="00BE10AE">
        <w:rPr>
          <w:rFonts w:ascii="Garamond" w:hAnsi="Garamond"/>
          <w:sz w:val="26"/>
          <w:szCs w:val="26"/>
        </w:rPr>
        <w:t xml:space="preserve">, </w:t>
      </w:r>
      <w:r w:rsidR="00150B04" w:rsidRPr="00BE10AE">
        <w:rPr>
          <w:rFonts w:ascii="Garamond" w:hAnsi="Garamond"/>
          <w:i/>
          <w:iCs/>
          <w:sz w:val="26"/>
          <w:szCs w:val="26"/>
        </w:rPr>
        <w:t>supra</w:t>
      </w:r>
      <w:r w:rsidR="00150B04" w:rsidRPr="00BE10AE">
        <w:rPr>
          <w:rFonts w:ascii="Garamond" w:hAnsi="Garamond"/>
          <w:sz w:val="26"/>
          <w:szCs w:val="26"/>
        </w:rPr>
        <w:t xml:space="preserve">, 68 Cal.2d at pp. 817-819; </w:t>
      </w:r>
      <w:r w:rsidR="00150B04" w:rsidRPr="00BE10AE">
        <w:rPr>
          <w:rFonts w:ascii="Garamond" w:hAnsi="Garamond"/>
          <w:i/>
          <w:iCs/>
          <w:sz w:val="26"/>
          <w:szCs w:val="26"/>
        </w:rPr>
        <w:t>People v. Talkington</w:t>
      </w:r>
      <w:r w:rsidR="00150B04" w:rsidRPr="00BE10AE">
        <w:rPr>
          <w:rFonts w:ascii="Garamond" w:hAnsi="Garamond"/>
          <w:sz w:val="26"/>
          <w:szCs w:val="26"/>
        </w:rPr>
        <w:t xml:space="preserve"> (1935) 8 Cal.App.2d 75, 85.)</w:t>
      </w:r>
    </w:p>
    <w:p w14:paraId="2CDF4755" w14:textId="7FB05C59" w:rsidR="008230A0" w:rsidRPr="00BE10AE" w:rsidRDefault="008230A0" w:rsidP="00DE7459">
      <w:pPr>
        <w:pStyle w:val="ListParagraph"/>
        <w:keepNext/>
        <w:keepLines/>
        <w:numPr>
          <w:ilvl w:val="1"/>
          <w:numId w:val="2"/>
        </w:numPr>
        <w:spacing w:line="360" w:lineRule="auto"/>
        <w:rPr>
          <w:rFonts w:ascii="Garamond" w:hAnsi="Garamond"/>
          <w:b/>
          <w:bCs/>
          <w:sz w:val="26"/>
          <w:szCs w:val="26"/>
        </w:rPr>
      </w:pPr>
      <w:r w:rsidRPr="00BE10AE">
        <w:rPr>
          <w:rFonts w:ascii="Garamond" w:hAnsi="Garamond"/>
          <w:b/>
          <w:bCs/>
          <w:sz w:val="26"/>
          <w:szCs w:val="26"/>
        </w:rPr>
        <w:t>What about a dynamite charge?</w:t>
      </w:r>
    </w:p>
    <w:p w14:paraId="2BD3B7BF" w14:textId="4D41894E" w:rsidR="006D2DC5" w:rsidRPr="00BE10AE" w:rsidRDefault="006D2DC5" w:rsidP="00DE7459">
      <w:pPr>
        <w:keepNext/>
        <w:keepLines/>
        <w:spacing w:line="360" w:lineRule="auto"/>
        <w:ind w:firstLine="360"/>
        <w:contextualSpacing/>
        <w:rPr>
          <w:rFonts w:ascii="Garamond" w:hAnsi="Garamond"/>
          <w:sz w:val="26"/>
          <w:szCs w:val="26"/>
        </w:rPr>
      </w:pPr>
      <w:r w:rsidRPr="00BE10AE">
        <w:rPr>
          <w:rFonts w:ascii="Garamond" w:hAnsi="Garamond"/>
          <w:sz w:val="26"/>
          <w:szCs w:val="26"/>
        </w:rPr>
        <w:t xml:space="preserve">When the jury comes back deadlocked, </w:t>
      </w:r>
      <w:r w:rsidR="0070736A" w:rsidRPr="00BE10AE">
        <w:rPr>
          <w:rFonts w:ascii="Garamond" w:hAnsi="Garamond"/>
          <w:sz w:val="26"/>
          <w:szCs w:val="26"/>
        </w:rPr>
        <w:t xml:space="preserve">judges may be tempted to give something akin to </w:t>
      </w:r>
      <w:r w:rsidRPr="00BE10AE">
        <w:rPr>
          <w:rFonts w:ascii="Garamond" w:hAnsi="Garamond"/>
          <w:sz w:val="26"/>
          <w:szCs w:val="26"/>
        </w:rPr>
        <w:t xml:space="preserve">a dynamite or </w:t>
      </w:r>
      <w:r w:rsidRPr="00BE10AE">
        <w:rPr>
          <w:rFonts w:ascii="Garamond" w:hAnsi="Garamond"/>
          <w:i/>
          <w:iCs/>
          <w:sz w:val="26"/>
          <w:szCs w:val="26"/>
        </w:rPr>
        <w:t>Allen</w:t>
      </w:r>
      <w:r w:rsidRPr="00BE10AE">
        <w:rPr>
          <w:rFonts w:ascii="Garamond" w:hAnsi="Garamond"/>
          <w:sz w:val="26"/>
          <w:szCs w:val="26"/>
        </w:rPr>
        <w:t xml:space="preserve"> charge</w:t>
      </w:r>
      <w:r w:rsidR="0070736A" w:rsidRPr="00BE10AE">
        <w:rPr>
          <w:rFonts w:ascii="Garamond" w:hAnsi="Garamond"/>
          <w:sz w:val="26"/>
          <w:szCs w:val="26"/>
        </w:rPr>
        <w:t xml:space="preserve">. This is inappropriate. </w:t>
      </w:r>
      <w:r w:rsidR="007842BD" w:rsidRPr="00BE10AE">
        <w:rPr>
          <w:rFonts w:ascii="Garamond" w:hAnsi="Garamond"/>
          <w:sz w:val="26"/>
          <w:szCs w:val="26"/>
        </w:rPr>
        <w:t>A</w:t>
      </w:r>
      <w:r w:rsidR="006072BE" w:rsidRPr="00BE10AE">
        <w:rPr>
          <w:rFonts w:ascii="Garamond" w:hAnsi="Garamond"/>
          <w:sz w:val="26"/>
          <w:szCs w:val="26"/>
        </w:rPr>
        <w:t xml:space="preserve"> dynamite or</w:t>
      </w:r>
      <w:r w:rsidR="007842BD" w:rsidRPr="00BE10AE">
        <w:rPr>
          <w:rFonts w:ascii="Garamond" w:hAnsi="Garamond"/>
          <w:sz w:val="26"/>
          <w:szCs w:val="26"/>
        </w:rPr>
        <w:t xml:space="preserve"> </w:t>
      </w:r>
      <w:r w:rsidR="007842BD" w:rsidRPr="00BE10AE">
        <w:rPr>
          <w:rFonts w:ascii="Garamond" w:hAnsi="Garamond"/>
          <w:i/>
          <w:iCs/>
          <w:sz w:val="26"/>
          <w:szCs w:val="26"/>
        </w:rPr>
        <w:t>Allen</w:t>
      </w:r>
      <w:r w:rsidR="007842BD" w:rsidRPr="00BE10AE">
        <w:rPr>
          <w:rFonts w:ascii="Garamond" w:hAnsi="Garamond"/>
          <w:sz w:val="26"/>
          <w:szCs w:val="26"/>
        </w:rPr>
        <w:t xml:space="preserve"> charge is an instruction</w:t>
      </w:r>
      <w:r w:rsidR="000C7F63" w:rsidRPr="00BE10AE">
        <w:rPr>
          <w:rFonts w:ascii="Garamond" w:hAnsi="Garamond"/>
          <w:sz w:val="26"/>
          <w:szCs w:val="26"/>
        </w:rPr>
        <w:t xml:space="preserve"> </w:t>
      </w:r>
      <w:r w:rsidR="0070736A" w:rsidRPr="00BE10AE">
        <w:rPr>
          <w:rFonts w:ascii="Garamond" w:hAnsi="Garamond"/>
          <w:sz w:val="26"/>
          <w:szCs w:val="26"/>
        </w:rPr>
        <w:t xml:space="preserve">that </w:t>
      </w:r>
      <w:r w:rsidR="00DE7459">
        <w:rPr>
          <w:rFonts w:ascii="Garamond" w:hAnsi="Garamond"/>
          <w:sz w:val="26"/>
          <w:szCs w:val="26"/>
        </w:rPr>
        <w:t>the</w:t>
      </w:r>
      <w:r w:rsidR="006072BE" w:rsidRPr="00BE10AE">
        <w:rPr>
          <w:rFonts w:ascii="Garamond" w:hAnsi="Garamond"/>
          <w:sz w:val="26"/>
          <w:szCs w:val="26"/>
        </w:rPr>
        <w:t xml:space="preserve"> court gives to a </w:t>
      </w:r>
      <w:r w:rsidR="00515A3B" w:rsidRPr="00BE10AE">
        <w:rPr>
          <w:rFonts w:ascii="Garamond" w:hAnsi="Garamond"/>
          <w:sz w:val="26"/>
          <w:szCs w:val="26"/>
        </w:rPr>
        <w:t>deadlocked jury in the hopes of break</w:t>
      </w:r>
      <w:r w:rsidR="001968DF" w:rsidRPr="00BE10AE">
        <w:rPr>
          <w:rFonts w:ascii="Garamond" w:hAnsi="Garamond"/>
          <w:sz w:val="26"/>
          <w:szCs w:val="26"/>
        </w:rPr>
        <w:t>ing the deadlock</w:t>
      </w:r>
      <w:r w:rsidR="00896E60" w:rsidRPr="00BE10AE">
        <w:rPr>
          <w:rFonts w:ascii="Garamond" w:hAnsi="Garamond"/>
          <w:sz w:val="26"/>
          <w:szCs w:val="26"/>
        </w:rPr>
        <w:t xml:space="preserve">. </w:t>
      </w:r>
      <w:r w:rsidR="001968DF" w:rsidRPr="00BE10AE">
        <w:rPr>
          <w:rFonts w:ascii="Garamond" w:hAnsi="Garamond"/>
          <w:sz w:val="26"/>
          <w:szCs w:val="26"/>
        </w:rPr>
        <w:t xml:space="preserve">Originally approved in </w:t>
      </w:r>
      <w:r w:rsidR="001968DF" w:rsidRPr="00BE10AE">
        <w:rPr>
          <w:rFonts w:ascii="Garamond" w:hAnsi="Garamond"/>
          <w:i/>
          <w:iCs/>
          <w:sz w:val="26"/>
          <w:szCs w:val="26"/>
        </w:rPr>
        <w:t>Allen v. United States</w:t>
      </w:r>
      <w:r w:rsidR="00EC2104" w:rsidRPr="00BE10AE">
        <w:rPr>
          <w:rFonts w:ascii="Garamond" w:hAnsi="Garamond"/>
          <w:sz w:val="26"/>
          <w:szCs w:val="26"/>
        </w:rPr>
        <w:t xml:space="preserve"> (1896) 164 U.S. 492</w:t>
      </w:r>
      <w:r w:rsidR="001968DF" w:rsidRPr="00BE10AE">
        <w:rPr>
          <w:rFonts w:ascii="Garamond" w:hAnsi="Garamond"/>
          <w:sz w:val="26"/>
          <w:szCs w:val="26"/>
        </w:rPr>
        <w:t xml:space="preserve">, </w:t>
      </w:r>
      <w:r w:rsidR="002928CD" w:rsidRPr="00BE10AE">
        <w:rPr>
          <w:rFonts w:ascii="Garamond" w:hAnsi="Garamond"/>
          <w:sz w:val="26"/>
          <w:szCs w:val="26"/>
        </w:rPr>
        <w:t>the charge</w:t>
      </w:r>
      <w:r w:rsidR="007A6E5E" w:rsidRPr="00BE10AE">
        <w:rPr>
          <w:rFonts w:ascii="Garamond" w:hAnsi="Garamond"/>
          <w:sz w:val="26"/>
          <w:szCs w:val="26"/>
        </w:rPr>
        <w:t xml:space="preserve"> usually</w:t>
      </w:r>
      <w:r w:rsidR="002928CD" w:rsidRPr="00BE10AE">
        <w:rPr>
          <w:rFonts w:ascii="Garamond" w:hAnsi="Garamond"/>
          <w:sz w:val="26"/>
          <w:szCs w:val="26"/>
        </w:rPr>
        <w:t xml:space="preserve"> </w:t>
      </w:r>
      <w:r w:rsidR="00BF3377" w:rsidRPr="00BE10AE">
        <w:rPr>
          <w:rFonts w:ascii="Garamond" w:hAnsi="Garamond"/>
          <w:sz w:val="26"/>
          <w:szCs w:val="26"/>
        </w:rPr>
        <w:t xml:space="preserve">involves the court </w:t>
      </w:r>
      <w:r w:rsidR="002463A3" w:rsidRPr="00BE10AE">
        <w:rPr>
          <w:rFonts w:ascii="Garamond" w:hAnsi="Garamond"/>
          <w:sz w:val="26"/>
          <w:szCs w:val="26"/>
        </w:rPr>
        <w:t xml:space="preserve">telling the jury that the trial has been expensive, that </w:t>
      </w:r>
      <w:r w:rsidR="00515A3B" w:rsidRPr="00BE10AE">
        <w:rPr>
          <w:rFonts w:ascii="Garamond" w:hAnsi="Garamond"/>
          <w:sz w:val="26"/>
          <w:szCs w:val="26"/>
        </w:rPr>
        <w:t>if this jury doesn</w:t>
      </w:r>
      <w:r w:rsidR="00345E47" w:rsidRPr="00BE10AE">
        <w:rPr>
          <w:rFonts w:ascii="Garamond" w:hAnsi="Garamond"/>
          <w:sz w:val="26"/>
          <w:szCs w:val="26"/>
        </w:rPr>
        <w:t>’</w:t>
      </w:r>
      <w:r w:rsidR="00515A3B" w:rsidRPr="00BE10AE">
        <w:rPr>
          <w:rFonts w:ascii="Garamond" w:hAnsi="Garamond"/>
          <w:sz w:val="26"/>
          <w:szCs w:val="26"/>
        </w:rPr>
        <w:t>t reach a verdict, the court will need to try the case again, and that it</w:t>
      </w:r>
      <w:r w:rsidR="00345E47" w:rsidRPr="00BE10AE">
        <w:rPr>
          <w:rFonts w:ascii="Garamond" w:hAnsi="Garamond"/>
          <w:sz w:val="26"/>
          <w:szCs w:val="26"/>
        </w:rPr>
        <w:t>’</w:t>
      </w:r>
      <w:r w:rsidR="00515A3B" w:rsidRPr="00BE10AE">
        <w:rPr>
          <w:rFonts w:ascii="Garamond" w:hAnsi="Garamond"/>
          <w:sz w:val="26"/>
          <w:szCs w:val="26"/>
        </w:rPr>
        <w:t xml:space="preserve">s unlikely a </w:t>
      </w:r>
      <w:r w:rsidR="003A72AC" w:rsidRPr="00BE10AE">
        <w:rPr>
          <w:rFonts w:ascii="Garamond" w:hAnsi="Garamond"/>
          <w:sz w:val="26"/>
          <w:szCs w:val="26"/>
        </w:rPr>
        <w:t>different jury could do better at deciding the case</w:t>
      </w:r>
      <w:r w:rsidR="002928CD" w:rsidRPr="00BE10AE">
        <w:rPr>
          <w:rFonts w:ascii="Garamond" w:hAnsi="Garamond"/>
          <w:sz w:val="26"/>
          <w:szCs w:val="26"/>
        </w:rPr>
        <w:t xml:space="preserve"> than this one</w:t>
      </w:r>
      <w:r w:rsidR="00773300" w:rsidRPr="00BE10AE">
        <w:rPr>
          <w:rFonts w:ascii="Garamond" w:hAnsi="Garamond"/>
          <w:sz w:val="26"/>
          <w:szCs w:val="26"/>
        </w:rPr>
        <w:t xml:space="preserve">. </w:t>
      </w:r>
      <w:r w:rsidR="00BA6CFA" w:rsidRPr="00BE10AE">
        <w:rPr>
          <w:rFonts w:ascii="Garamond" w:hAnsi="Garamond"/>
          <w:sz w:val="26"/>
          <w:szCs w:val="26"/>
        </w:rPr>
        <w:t>(</w:t>
      </w:r>
      <w:r w:rsidR="00244A1D" w:rsidRPr="00BE10AE">
        <w:rPr>
          <w:rFonts w:ascii="Garamond" w:hAnsi="Garamond"/>
          <w:sz w:val="26"/>
          <w:szCs w:val="26"/>
        </w:rPr>
        <w:t xml:space="preserve">See </w:t>
      </w:r>
      <w:r w:rsidR="00244A1D" w:rsidRPr="00BE10AE">
        <w:rPr>
          <w:rFonts w:ascii="Garamond" w:hAnsi="Garamond"/>
          <w:i/>
          <w:iCs/>
          <w:sz w:val="26"/>
          <w:szCs w:val="26"/>
        </w:rPr>
        <w:t>People v. Gainer</w:t>
      </w:r>
      <w:r w:rsidR="00244A1D" w:rsidRPr="00BE10AE">
        <w:rPr>
          <w:rFonts w:ascii="Garamond" w:hAnsi="Garamond"/>
          <w:sz w:val="26"/>
          <w:szCs w:val="26"/>
        </w:rPr>
        <w:t xml:space="preserve"> (1977) 19 Cal.3d 835, 841-842, </w:t>
      </w:r>
      <w:r w:rsidR="00E87E2F" w:rsidRPr="00BE10AE">
        <w:rPr>
          <w:rFonts w:ascii="Garamond" w:hAnsi="Garamond"/>
          <w:sz w:val="26"/>
          <w:szCs w:val="26"/>
        </w:rPr>
        <w:t>disapproved</w:t>
      </w:r>
      <w:r w:rsidR="00244A1D" w:rsidRPr="00BE10AE">
        <w:rPr>
          <w:rFonts w:ascii="Garamond" w:hAnsi="Garamond"/>
          <w:sz w:val="26"/>
          <w:szCs w:val="26"/>
        </w:rPr>
        <w:t xml:space="preserve"> </w:t>
      </w:r>
      <w:r w:rsidR="00AF0AD9">
        <w:rPr>
          <w:rFonts w:ascii="Garamond" w:hAnsi="Garamond"/>
          <w:sz w:val="26"/>
          <w:szCs w:val="26"/>
        </w:rPr>
        <w:t xml:space="preserve">of </w:t>
      </w:r>
      <w:r w:rsidR="00244A1D" w:rsidRPr="00BE10AE">
        <w:rPr>
          <w:rFonts w:ascii="Garamond" w:hAnsi="Garamond"/>
          <w:sz w:val="26"/>
          <w:szCs w:val="26"/>
        </w:rPr>
        <w:t>in part by</w:t>
      </w:r>
      <w:r w:rsidR="0047012C" w:rsidRPr="00BE10AE">
        <w:rPr>
          <w:rFonts w:ascii="Garamond" w:hAnsi="Garamond"/>
          <w:sz w:val="26"/>
          <w:szCs w:val="26"/>
        </w:rPr>
        <w:t xml:space="preserve"> </w:t>
      </w:r>
      <w:r w:rsidR="0047012C" w:rsidRPr="00BE10AE">
        <w:rPr>
          <w:rFonts w:ascii="Garamond" w:hAnsi="Garamond"/>
          <w:i/>
          <w:iCs/>
          <w:sz w:val="26"/>
          <w:szCs w:val="26"/>
        </w:rPr>
        <w:t>People v. Valdez</w:t>
      </w:r>
      <w:r w:rsidR="0047012C" w:rsidRPr="00BE10AE">
        <w:rPr>
          <w:rFonts w:ascii="Garamond" w:hAnsi="Garamond"/>
          <w:sz w:val="26"/>
          <w:szCs w:val="26"/>
        </w:rPr>
        <w:t xml:space="preserve"> (2012) 55 Cal.4th 82</w:t>
      </w:r>
      <w:r w:rsidR="00244A1D" w:rsidRPr="00BE10AE">
        <w:rPr>
          <w:rFonts w:ascii="Garamond" w:hAnsi="Garamond"/>
          <w:sz w:val="26"/>
          <w:szCs w:val="26"/>
        </w:rPr>
        <w:t xml:space="preserve">.) </w:t>
      </w:r>
      <w:r w:rsidR="00773300" w:rsidRPr="00BE10AE">
        <w:rPr>
          <w:rFonts w:ascii="Garamond" w:hAnsi="Garamond"/>
          <w:sz w:val="26"/>
          <w:szCs w:val="26"/>
        </w:rPr>
        <w:t xml:space="preserve">The court then suggests that the minority jurors—whether for or against conviction—reconsider their </w:t>
      </w:r>
      <w:r w:rsidR="008C542C" w:rsidRPr="00BE10AE">
        <w:rPr>
          <w:rFonts w:ascii="Garamond" w:hAnsi="Garamond"/>
          <w:sz w:val="26"/>
          <w:szCs w:val="26"/>
        </w:rPr>
        <w:t>verdicts in light of the majority</w:t>
      </w:r>
      <w:r w:rsidR="00345E47" w:rsidRPr="00BE10AE">
        <w:rPr>
          <w:rFonts w:ascii="Garamond" w:hAnsi="Garamond"/>
          <w:sz w:val="26"/>
          <w:szCs w:val="26"/>
        </w:rPr>
        <w:t>’</w:t>
      </w:r>
      <w:r w:rsidR="008C542C" w:rsidRPr="00BE10AE">
        <w:rPr>
          <w:rFonts w:ascii="Garamond" w:hAnsi="Garamond"/>
          <w:sz w:val="26"/>
          <w:szCs w:val="26"/>
        </w:rPr>
        <w:t xml:space="preserve">s </w:t>
      </w:r>
      <w:r w:rsidR="0015107E" w:rsidRPr="00BE10AE">
        <w:rPr>
          <w:rFonts w:ascii="Garamond" w:hAnsi="Garamond"/>
          <w:sz w:val="26"/>
          <w:szCs w:val="26"/>
        </w:rPr>
        <w:t xml:space="preserve">opinion. </w:t>
      </w:r>
      <w:r w:rsidR="00E736C6" w:rsidRPr="00BE10AE">
        <w:rPr>
          <w:rFonts w:ascii="Garamond" w:hAnsi="Garamond"/>
          <w:sz w:val="26"/>
          <w:szCs w:val="26"/>
        </w:rPr>
        <w:t>(</w:t>
      </w:r>
      <w:r w:rsidR="00E736C6" w:rsidRPr="00BE10AE">
        <w:rPr>
          <w:rFonts w:ascii="Garamond" w:hAnsi="Garamond"/>
          <w:i/>
          <w:iCs/>
          <w:sz w:val="26"/>
          <w:szCs w:val="26"/>
        </w:rPr>
        <w:t>Ibid</w:t>
      </w:r>
      <w:r w:rsidR="00E736C6" w:rsidRPr="00BE10AE">
        <w:rPr>
          <w:rFonts w:ascii="Garamond" w:hAnsi="Garamond"/>
          <w:sz w:val="26"/>
          <w:szCs w:val="26"/>
        </w:rPr>
        <w:t>.)</w:t>
      </w:r>
    </w:p>
    <w:p w14:paraId="7539E06E" w14:textId="631431BE" w:rsidR="0015107E" w:rsidRPr="00BE10AE" w:rsidRDefault="0015107E" w:rsidP="006D2DC5">
      <w:pPr>
        <w:spacing w:line="360" w:lineRule="auto"/>
        <w:ind w:firstLine="360"/>
        <w:contextualSpacing/>
        <w:rPr>
          <w:rFonts w:ascii="Garamond" w:hAnsi="Garamond"/>
          <w:sz w:val="26"/>
          <w:szCs w:val="26"/>
        </w:rPr>
      </w:pPr>
      <w:r w:rsidRPr="00BE10AE">
        <w:rPr>
          <w:rFonts w:ascii="Garamond" w:hAnsi="Garamond"/>
          <w:sz w:val="26"/>
          <w:szCs w:val="26"/>
        </w:rPr>
        <w:t xml:space="preserve">California rejected the </w:t>
      </w:r>
      <w:r w:rsidRPr="00BE10AE">
        <w:rPr>
          <w:rFonts w:ascii="Garamond" w:hAnsi="Garamond"/>
          <w:i/>
          <w:iCs/>
          <w:sz w:val="26"/>
          <w:szCs w:val="26"/>
        </w:rPr>
        <w:t>Allen</w:t>
      </w:r>
      <w:r w:rsidR="000538C9" w:rsidRPr="00BE10AE">
        <w:rPr>
          <w:rFonts w:ascii="Garamond" w:hAnsi="Garamond"/>
          <w:sz w:val="26"/>
          <w:szCs w:val="26"/>
        </w:rPr>
        <w:t xml:space="preserve"> </w:t>
      </w:r>
      <w:r w:rsidR="00EC2104" w:rsidRPr="00BE10AE">
        <w:rPr>
          <w:rFonts w:ascii="Garamond" w:hAnsi="Garamond"/>
          <w:sz w:val="26"/>
          <w:szCs w:val="26"/>
        </w:rPr>
        <w:t>charge i</w:t>
      </w:r>
      <w:r w:rsidR="000538C9" w:rsidRPr="00BE10AE">
        <w:rPr>
          <w:rFonts w:ascii="Garamond" w:hAnsi="Garamond"/>
          <w:sz w:val="26"/>
          <w:szCs w:val="26"/>
        </w:rPr>
        <w:t xml:space="preserve">n </w:t>
      </w:r>
      <w:r w:rsidR="00E736C6" w:rsidRPr="00BE10AE">
        <w:rPr>
          <w:rFonts w:ascii="Garamond" w:hAnsi="Garamond"/>
          <w:i/>
          <w:iCs/>
          <w:sz w:val="26"/>
          <w:szCs w:val="26"/>
        </w:rPr>
        <w:t>Gainer</w:t>
      </w:r>
      <w:r w:rsidR="00E736C6" w:rsidRPr="00BE10AE">
        <w:rPr>
          <w:rFonts w:ascii="Garamond" w:hAnsi="Garamond"/>
          <w:sz w:val="26"/>
          <w:szCs w:val="26"/>
        </w:rPr>
        <w:t xml:space="preserve">, </w:t>
      </w:r>
      <w:r w:rsidR="00E736C6" w:rsidRPr="00BE10AE">
        <w:rPr>
          <w:rFonts w:ascii="Garamond" w:hAnsi="Garamond"/>
          <w:i/>
          <w:iCs/>
          <w:sz w:val="26"/>
          <w:szCs w:val="26"/>
        </w:rPr>
        <w:t>supra</w:t>
      </w:r>
      <w:r w:rsidR="00E736C6" w:rsidRPr="00BE10AE">
        <w:rPr>
          <w:rFonts w:ascii="Garamond" w:hAnsi="Garamond"/>
          <w:sz w:val="26"/>
          <w:szCs w:val="26"/>
        </w:rPr>
        <w:t xml:space="preserve">, 19 Cal.3d at p. </w:t>
      </w:r>
      <w:r w:rsidR="00082368" w:rsidRPr="00BE10AE">
        <w:rPr>
          <w:rFonts w:ascii="Garamond" w:hAnsi="Garamond"/>
          <w:sz w:val="26"/>
          <w:szCs w:val="26"/>
        </w:rPr>
        <w:t>852</w:t>
      </w:r>
      <w:r w:rsidR="000538C9" w:rsidRPr="00BE10AE">
        <w:rPr>
          <w:rFonts w:ascii="Garamond" w:hAnsi="Garamond"/>
          <w:sz w:val="26"/>
          <w:szCs w:val="26"/>
        </w:rPr>
        <w:t>. The court said</w:t>
      </w:r>
      <w:r w:rsidR="00803701" w:rsidRPr="00BE10AE">
        <w:rPr>
          <w:rFonts w:ascii="Garamond" w:hAnsi="Garamond"/>
          <w:sz w:val="26"/>
          <w:szCs w:val="26"/>
        </w:rPr>
        <w:t xml:space="preserve">: </w:t>
      </w:r>
      <w:r w:rsidR="00345E47" w:rsidRPr="00BE10AE">
        <w:rPr>
          <w:rFonts w:ascii="Garamond" w:hAnsi="Garamond"/>
          <w:sz w:val="26"/>
          <w:szCs w:val="26"/>
        </w:rPr>
        <w:t>“</w:t>
      </w:r>
      <w:r w:rsidR="00803701" w:rsidRPr="00BE10AE">
        <w:rPr>
          <w:rFonts w:ascii="Garamond" w:hAnsi="Garamond"/>
          <w:sz w:val="26"/>
          <w:szCs w:val="26"/>
        </w:rPr>
        <w:t xml:space="preserve">[B]oth controversial features of the </w:t>
      </w:r>
      <w:r w:rsidR="00803701" w:rsidRPr="00403BE1">
        <w:rPr>
          <w:rFonts w:ascii="Garamond" w:hAnsi="Garamond"/>
          <w:i/>
          <w:iCs/>
          <w:sz w:val="26"/>
          <w:szCs w:val="26"/>
        </w:rPr>
        <w:t>Allen</w:t>
      </w:r>
      <w:r w:rsidR="00803701" w:rsidRPr="00BE10AE">
        <w:rPr>
          <w:rFonts w:ascii="Garamond" w:hAnsi="Garamond"/>
          <w:sz w:val="26"/>
          <w:szCs w:val="26"/>
        </w:rPr>
        <w:t>-type charge discussed herein inject extraneous and improper considerations into the jury</w:t>
      </w:r>
      <w:r w:rsidR="00345E47" w:rsidRPr="00BE10AE">
        <w:rPr>
          <w:rFonts w:ascii="Garamond" w:hAnsi="Garamond"/>
          <w:sz w:val="26"/>
          <w:szCs w:val="26"/>
        </w:rPr>
        <w:t>’</w:t>
      </w:r>
      <w:r w:rsidR="00803701" w:rsidRPr="00BE10AE">
        <w:rPr>
          <w:rFonts w:ascii="Garamond" w:hAnsi="Garamond"/>
          <w:sz w:val="26"/>
          <w:szCs w:val="26"/>
        </w:rPr>
        <w:t xml:space="preserve">s debates. We therefore hold </w:t>
      </w:r>
      <w:r w:rsidR="00732E98" w:rsidRPr="00BE10AE">
        <w:rPr>
          <w:rFonts w:ascii="Garamond" w:hAnsi="Garamond"/>
          <w:sz w:val="26"/>
          <w:szCs w:val="26"/>
        </w:rPr>
        <w:t>i</w:t>
      </w:r>
      <w:r w:rsidR="00803701" w:rsidRPr="00BE10AE">
        <w:rPr>
          <w:rFonts w:ascii="Garamond" w:hAnsi="Garamond"/>
          <w:sz w:val="26"/>
          <w:szCs w:val="26"/>
        </w:rPr>
        <w:t>t is error for a trial court to give an instruction which either (1) encourages jurors to consider the numerical division  or preponderance of opinion of the jury in forming or reexamining their views on the issues before them; or (2) states or implies that if the jury fails to agree the case will necessarily be retried.</w:t>
      </w:r>
      <w:r w:rsidR="00345E47" w:rsidRPr="00BE10AE">
        <w:rPr>
          <w:rFonts w:ascii="Garamond" w:hAnsi="Garamond"/>
          <w:sz w:val="26"/>
          <w:szCs w:val="26"/>
        </w:rPr>
        <w:t>”</w:t>
      </w:r>
      <w:r w:rsidR="00803701" w:rsidRPr="00BE10AE">
        <w:rPr>
          <w:rFonts w:ascii="Garamond" w:hAnsi="Garamond"/>
          <w:sz w:val="26"/>
          <w:szCs w:val="26"/>
        </w:rPr>
        <w:t xml:space="preserve"> (</w:t>
      </w:r>
      <w:r w:rsidR="00082368" w:rsidRPr="00BE10AE">
        <w:rPr>
          <w:rFonts w:ascii="Garamond" w:hAnsi="Garamond"/>
          <w:i/>
          <w:iCs/>
          <w:sz w:val="26"/>
          <w:szCs w:val="26"/>
        </w:rPr>
        <w:t>Ibid</w:t>
      </w:r>
      <w:r w:rsidR="00803701" w:rsidRPr="00BE10AE">
        <w:rPr>
          <w:rFonts w:ascii="Garamond" w:hAnsi="Garamond"/>
          <w:sz w:val="26"/>
          <w:szCs w:val="26"/>
        </w:rPr>
        <w:t>.)</w:t>
      </w:r>
      <w:r w:rsidR="005F738D" w:rsidRPr="00BE10AE">
        <w:t xml:space="preserve"> </w:t>
      </w:r>
      <w:r w:rsidR="005F738D" w:rsidRPr="00BE10AE">
        <w:rPr>
          <w:rFonts w:ascii="Garamond" w:hAnsi="Garamond"/>
          <w:sz w:val="26"/>
          <w:szCs w:val="26"/>
        </w:rPr>
        <w:t xml:space="preserve">The </w:t>
      </w:r>
      <w:r w:rsidR="00AF0AD9">
        <w:rPr>
          <w:rFonts w:ascii="Garamond" w:hAnsi="Garamond"/>
          <w:sz w:val="26"/>
          <w:szCs w:val="26"/>
        </w:rPr>
        <w:t>cou</w:t>
      </w:r>
      <w:r w:rsidR="005F738D" w:rsidRPr="00BE10AE">
        <w:rPr>
          <w:rFonts w:ascii="Garamond" w:hAnsi="Garamond"/>
          <w:sz w:val="26"/>
          <w:szCs w:val="26"/>
        </w:rPr>
        <w:t xml:space="preserve">rt noted </w:t>
      </w:r>
      <w:r w:rsidR="00AF0AD9">
        <w:rPr>
          <w:rFonts w:ascii="Garamond" w:hAnsi="Garamond"/>
          <w:sz w:val="26"/>
          <w:szCs w:val="26"/>
        </w:rPr>
        <w:t xml:space="preserve">that </w:t>
      </w:r>
      <w:r w:rsidR="005F738D" w:rsidRPr="00BE10AE">
        <w:rPr>
          <w:rFonts w:ascii="Garamond" w:hAnsi="Garamond"/>
          <w:sz w:val="26"/>
          <w:szCs w:val="26"/>
        </w:rPr>
        <w:t xml:space="preserve">the latter improper component of an </w:t>
      </w:r>
      <w:r w:rsidR="005F738D" w:rsidRPr="00BE10AE">
        <w:rPr>
          <w:rFonts w:ascii="Garamond" w:hAnsi="Garamond"/>
          <w:i/>
          <w:iCs/>
          <w:sz w:val="26"/>
          <w:szCs w:val="26"/>
        </w:rPr>
        <w:t>Allen</w:t>
      </w:r>
      <w:r w:rsidR="005F738D" w:rsidRPr="00BE10AE">
        <w:rPr>
          <w:rFonts w:ascii="Garamond" w:hAnsi="Garamond"/>
          <w:sz w:val="26"/>
          <w:szCs w:val="26"/>
        </w:rPr>
        <w:t xml:space="preserve">-type instruction was not specifically approved in </w:t>
      </w:r>
      <w:r w:rsidR="005F738D" w:rsidRPr="00BE10AE">
        <w:rPr>
          <w:rFonts w:ascii="Garamond" w:hAnsi="Garamond"/>
          <w:i/>
          <w:iCs/>
          <w:sz w:val="26"/>
          <w:szCs w:val="26"/>
        </w:rPr>
        <w:t>Allen</w:t>
      </w:r>
      <w:r w:rsidR="005F738D" w:rsidRPr="00BE10AE">
        <w:rPr>
          <w:rFonts w:ascii="Garamond" w:hAnsi="Garamond"/>
          <w:sz w:val="26"/>
          <w:szCs w:val="26"/>
        </w:rPr>
        <w:t xml:space="preserve"> itself and</w:t>
      </w:r>
      <w:r w:rsidR="00AF0AD9">
        <w:rPr>
          <w:rFonts w:ascii="Garamond" w:hAnsi="Garamond"/>
          <w:sz w:val="26"/>
          <w:szCs w:val="26"/>
        </w:rPr>
        <w:t xml:space="preserve"> that</w:t>
      </w:r>
      <w:r w:rsidR="005F738D" w:rsidRPr="00BE10AE">
        <w:rPr>
          <w:rFonts w:ascii="Garamond" w:hAnsi="Garamond"/>
          <w:sz w:val="26"/>
          <w:szCs w:val="26"/>
        </w:rPr>
        <w:t xml:space="preserve"> these types of instructions had been developed through </w:t>
      </w:r>
      <w:r w:rsidR="00345E47" w:rsidRPr="00BE10AE">
        <w:rPr>
          <w:rFonts w:ascii="Garamond" w:hAnsi="Garamond"/>
          <w:sz w:val="26"/>
          <w:szCs w:val="26"/>
        </w:rPr>
        <w:t>“</w:t>
      </w:r>
      <w:r w:rsidR="005F738D" w:rsidRPr="00BE10AE">
        <w:rPr>
          <w:rFonts w:ascii="Garamond" w:hAnsi="Garamond"/>
          <w:sz w:val="26"/>
          <w:szCs w:val="26"/>
        </w:rPr>
        <w:t>[d]ecades of judicial improvisation.</w:t>
      </w:r>
      <w:r w:rsidR="00345E47" w:rsidRPr="00BE10AE">
        <w:rPr>
          <w:rFonts w:ascii="Garamond" w:hAnsi="Garamond"/>
          <w:sz w:val="26"/>
          <w:szCs w:val="26"/>
        </w:rPr>
        <w:t>”</w:t>
      </w:r>
      <w:r w:rsidR="005F738D" w:rsidRPr="00BE10AE">
        <w:rPr>
          <w:rFonts w:ascii="Garamond" w:hAnsi="Garamond"/>
          <w:sz w:val="26"/>
          <w:szCs w:val="26"/>
        </w:rPr>
        <w:t xml:space="preserve">  (</w:t>
      </w:r>
      <w:r w:rsidR="0009185C" w:rsidRPr="00BE10AE">
        <w:rPr>
          <w:rFonts w:ascii="Garamond" w:hAnsi="Garamond"/>
          <w:i/>
          <w:iCs/>
          <w:sz w:val="26"/>
          <w:szCs w:val="26"/>
        </w:rPr>
        <w:t>Id</w:t>
      </w:r>
      <w:r w:rsidR="0009185C" w:rsidRPr="00BE10AE">
        <w:rPr>
          <w:rFonts w:ascii="Garamond" w:hAnsi="Garamond"/>
          <w:sz w:val="26"/>
          <w:szCs w:val="26"/>
        </w:rPr>
        <w:t>.</w:t>
      </w:r>
      <w:r w:rsidR="005F738D" w:rsidRPr="00BE10AE">
        <w:rPr>
          <w:rFonts w:ascii="Garamond" w:hAnsi="Garamond"/>
          <w:sz w:val="26"/>
          <w:szCs w:val="26"/>
        </w:rPr>
        <w:t xml:space="preserve"> at p. 845.) The court also observed: </w:t>
      </w:r>
      <w:r w:rsidR="00345E47" w:rsidRPr="00BE10AE">
        <w:rPr>
          <w:rFonts w:ascii="Garamond" w:hAnsi="Garamond"/>
          <w:sz w:val="26"/>
          <w:szCs w:val="26"/>
        </w:rPr>
        <w:t>“</w:t>
      </w:r>
      <w:r w:rsidR="005F738D" w:rsidRPr="00BE10AE">
        <w:rPr>
          <w:rFonts w:ascii="Garamond" w:hAnsi="Garamond"/>
          <w:sz w:val="26"/>
          <w:szCs w:val="26"/>
        </w:rPr>
        <w:t xml:space="preserve">A third common feature of </w:t>
      </w:r>
      <w:r w:rsidR="005F738D" w:rsidRPr="00BE10AE">
        <w:rPr>
          <w:rFonts w:ascii="Garamond" w:hAnsi="Garamond"/>
          <w:i/>
          <w:iCs/>
          <w:sz w:val="26"/>
          <w:szCs w:val="26"/>
        </w:rPr>
        <w:t>Allen</w:t>
      </w:r>
      <w:r w:rsidR="005F738D" w:rsidRPr="00BE10AE">
        <w:rPr>
          <w:rFonts w:ascii="Garamond" w:hAnsi="Garamond"/>
          <w:sz w:val="26"/>
          <w:szCs w:val="26"/>
        </w:rPr>
        <w:t>-type instructions is a reference to the expense and inconvenience of a retrial. While such language was absent from the charge in this case, it is equally irrelevant to the issue of defendant</w:t>
      </w:r>
      <w:r w:rsidR="00345E47" w:rsidRPr="00BE10AE">
        <w:rPr>
          <w:rFonts w:ascii="Garamond" w:hAnsi="Garamond"/>
          <w:sz w:val="26"/>
          <w:szCs w:val="26"/>
        </w:rPr>
        <w:t>’</w:t>
      </w:r>
      <w:r w:rsidR="005F738D" w:rsidRPr="00BE10AE">
        <w:rPr>
          <w:rFonts w:ascii="Garamond" w:hAnsi="Garamond"/>
          <w:sz w:val="26"/>
          <w:szCs w:val="26"/>
        </w:rPr>
        <w:t>s guilt or innocence, and hence similarly impermissible.</w:t>
      </w:r>
      <w:r w:rsidR="00345E47" w:rsidRPr="00BE10AE">
        <w:rPr>
          <w:rFonts w:ascii="Garamond" w:hAnsi="Garamond"/>
          <w:sz w:val="26"/>
          <w:szCs w:val="26"/>
        </w:rPr>
        <w:t>”</w:t>
      </w:r>
      <w:r w:rsidR="0009185C" w:rsidRPr="00BE10AE">
        <w:rPr>
          <w:rFonts w:ascii="Garamond" w:hAnsi="Garamond"/>
          <w:sz w:val="26"/>
          <w:szCs w:val="26"/>
        </w:rPr>
        <w:t xml:space="preserve"> (</w:t>
      </w:r>
      <w:r w:rsidR="0009185C" w:rsidRPr="00BE10AE">
        <w:rPr>
          <w:rFonts w:ascii="Garamond" w:hAnsi="Garamond"/>
          <w:i/>
          <w:iCs/>
          <w:sz w:val="26"/>
          <w:szCs w:val="26"/>
        </w:rPr>
        <w:t>Id</w:t>
      </w:r>
      <w:r w:rsidR="0009185C" w:rsidRPr="00BE10AE">
        <w:rPr>
          <w:rFonts w:ascii="Garamond" w:hAnsi="Garamond"/>
          <w:sz w:val="26"/>
          <w:szCs w:val="26"/>
        </w:rPr>
        <w:t>. at p. 852, fn. 16.)</w:t>
      </w:r>
    </w:p>
    <w:p w14:paraId="6E6C3A2B" w14:textId="2126C728" w:rsidR="00A6089C" w:rsidRPr="00BE10AE" w:rsidRDefault="00A6089C" w:rsidP="006D2DC5">
      <w:pPr>
        <w:spacing w:line="360" w:lineRule="auto"/>
        <w:ind w:firstLine="360"/>
        <w:contextualSpacing/>
        <w:rPr>
          <w:rFonts w:ascii="Garamond" w:hAnsi="Garamond"/>
          <w:sz w:val="26"/>
          <w:szCs w:val="26"/>
        </w:rPr>
      </w:pPr>
      <w:r w:rsidRPr="00BE10AE">
        <w:rPr>
          <w:rFonts w:ascii="Garamond" w:hAnsi="Garamond"/>
          <w:sz w:val="26"/>
          <w:szCs w:val="26"/>
        </w:rPr>
        <w:t xml:space="preserve">That said, </w:t>
      </w:r>
      <w:r w:rsidR="00830E3F" w:rsidRPr="00BE10AE">
        <w:rPr>
          <w:rFonts w:ascii="Garamond" w:hAnsi="Garamond"/>
          <w:sz w:val="26"/>
          <w:szCs w:val="26"/>
        </w:rPr>
        <w:t>the Supreme Court has approved an instruction</w:t>
      </w:r>
      <w:r w:rsidR="00C626AA" w:rsidRPr="00BE10AE">
        <w:rPr>
          <w:rFonts w:ascii="Garamond" w:hAnsi="Garamond"/>
          <w:sz w:val="26"/>
          <w:szCs w:val="26"/>
        </w:rPr>
        <w:t xml:space="preserve"> requesting both sides—majority and minority jurors</w:t>
      </w:r>
      <w:r w:rsidR="007D4BA2" w:rsidRPr="00BE10AE">
        <w:rPr>
          <w:rFonts w:ascii="Garamond" w:hAnsi="Garamond"/>
          <w:sz w:val="26"/>
          <w:szCs w:val="26"/>
        </w:rPr>
        <w:t xml:space="preserve">—to reconsider their views and disapproved </w:t>
      </w:r>
      <w:r w:rsidR="007D4BA2" w:rsidRPr="00BE10AE">
        <w:rPr>
          <w:rFonts w:ascii="Garamond" w:hAnsi="Garamond"/>
          <w:i/>
          <w:iCs/>
          <w:sz w:val="26"/>
          <w:szCs w:val="26"/>
        </w:rPr>
        <w:t>Gainer</w:t>
      </w:r>
      <w:r w:rsidR="007D4BA2" w:rsidRPr="00BE10AE">
        <w:rPr>
          <w:rFonts w:ascii="Garamond" w:hAnsi="Garamond"/>
          <w:sz w:val="26"/>
          <w:szCs w:val="26"/>
        </w:rPr>
        <w:t xml:space="preserve"> to the extent it said otherwise. </w:t>
      </w:r>
      <w:r w:rsidR="00EF72B8" w:rsidRPr="00BE10AE">
        <w:rPr>
          <w:rFonts w:ascii="Garamond" w:hAnsi="Garamond"/>
          <w:sz w:val="26"/>
          <w:szCs w:val="26"/>
        </w:rPr>
        <w:t>(</w:t>
      </w:r>
      <w:r w:rsidR="00EF72B8" w:rsidRPr="00BE10AE">
        <w:rPr>
          <w:rFonts w:ascii="Garamond" w:hAnsi="Garamond"/>
          <w:i/>
          <w:iCs/>
          <w:sz w:val="26"/>
          <w:szCs w:val="26"/>
        </w:rPr>
        <w:t>Valdez</w:t>
      </w:r>
      <w:r w:rsidR="00EF72B8" w:rsidRPr="00BE10AE">
        <w:rPr>
          <w:rFonts w:ascii="Garamond" w:hAnsi="Garamond"/>
          <w:sz w:val="26"/>
          <w:szCs w:val="26"/>
        </w:rPr>
        <w:t xml:space="preserve">, </w:t>
      </w:r>
      <w:r w:rsidR="00EF72B8" w:rsidRPr="00BE10AE">
        <w:rPr>
          <w:rFonts w:ascii="Garamond" w:hAnsi="Garamond"/>
          <w:i/>
          <w:iCs/>
          <w:sz w:val="26"/>
          <w:szCs w:val="26"/>
        </w:rPr>
        <w:t>supra</w:t>
      </w:r>
      <w:r w:rsidR="00EF72B8" w:rsidRPr="00BE10AE">
        <w:rPr>
          <w:rFonts w:ascii="Garamond" w:hAnsi="Garamond"/>
          <w:sz w:val="26"/>
          <w:szCs w:val="26"/>
        </w:rPr>
        <w:t xml:space="preserve">, 55 Cal.4th at p. </w:t>
      </w:r>
      <w:r w:rsidR="004D505D" w:rsidRPr="00BE10AE">
        <w:rPr>
          <w:rFonts w:ascii="Garamond" w:hAnsi="Garamond"/>
          <w:sz w:val="26"/>
          <w:szCs w:val="26"/>
        </w:rPr>
        <w:t xml:space="preserve">163.) </w:t>
      </w:r>
      <w:r w:rsidR="002E5C9B" w:rsidRPr="00BE10AE">
        <w:rPr>
          <w:rFonts w:ascii="Garamond" w:hAnsi="Garamond"/>
          <w:sz w:val="26"/>
          <w:szCs w:val="26"/>
        </w:rPr>
        <w:t>Moreover,</w:t>
      </w:r>
      <w:r w:rsidR="007D4BA2" w:rsidRPr="00BE10AE">
        <w:rPr>
          <w:rFonts w:ascii="Garamond" w:hAnsi="Garamond"/>
          <w:sz w:val="26"/>
          <w:szCs w:val="26"/>
        </w:rPr>
        <w:t xml:space="preserve"> CALCRIM No. 3551</w:t>
      </w:r>
      <w:r w:rsidR="00310FA2" w:rsidRPr="00BE10AE">
        <w:rPr>
          <w:rFonts w:ascii="Garamond" w:hAnsi="Garamond"/>
          <w:sz w:val="26"/>
          <w:szCs w:val="26"/>
        </w:rPr>
        <w:t xml:space="preserve">, while subject to </w:t>
      </w:r>
      <w:r w:rsidR="00BB4103" w:rsidRPr="00BE10AE">
        <w:rPr>
          <w:rFonts w:ascii="Garamond" w:hAnsi="Garamond"/>
          <w:sz w:val="26"/>
          <w:szCs w:val="26"/>
        </w:rPr>
        <w:t>attack from the defense bar</w:t>
      </w:r>
      <w:r w:rsidR="00310FA2" w:rsidRPr="00BE10AE">
        <w:rPr>
          <w:rFonts w:ascii="Garamond" w:hAnsi="Garamond"/>
          <w:sz w:val="26"/>
          <w:szCs w:val="26"/>
        </w:rPr>
        <w:t xml:space="preserve">, has not </w:t>
      </w:r>
      <w:r w:rsidR="00BB4103" w:rsidRPr="00BE10AE">
        <w:rPr>
          <w:rFonts w:ascii="Garamond" w:hAnsi="Garamond"/>
          <w:sz w:val="26"/>
          <w:szCs w:val="26"/>
        </w:rPr>
        <w:t>yet successfully</w:t>
      </w:r>
      <w:r w:rsidR="00AF0AD9">
        <w:rPr>
          <w:rFonts w:ascii="Garamond" w:hAnsi="Garamond"/>
          <w:sz w:val="26"/>
          <w:szCs w:val="26"/>
        </w:rPr>
        <w:t xml:space="preserve"> been</w:t>
      </w:r>
      <w:r w:rsidR="00BB4103" w:rsidRPr="00BE10AE">
        <w:rPr>
          <w:rFonts w:ascii="Garamond" w:hAnsi="Garamond"/>
          <w:sz w:val="26"/>
          <w:szCs w:val="26"/>
        </w:rPr>
        <w:t xml:space="preserve"> challenged</w:t>
      </w:r>
      <w:r w:rsidR="00D23A81" w:rsidRPr="00BE10AE">
        <w:rPr>
          <w:rFonts w:ascii="Garamond" w:hAnsi="Garamond"/>
          <w:sz w:val="26"/>
          <w:szCs w:val="26"/>
        </w:rPr>
        <w:t xml:space="preserve">. </w:t>
      </w:r>
      <w:r w:rsidR="009650EC" w:rsidRPr="00BE10AE">
        <w:rPr>
          <w:rFonts w:ascii="Garamond" w:hAnsi="Garamond"/>
          <w:sz w:val="26"/>
          <w:szCs w:val="26"/>
        </w:rPr>
        <w:t xml:space="preserve">That said, </w:t>
      </w:r>
      <w:r w:rsidR="009650EC" w:rsidRPr="00BE10AE">
        <w:rPr>
          <w:rFonts w:ascii="Garamond" w:hAnsi="Garamond"/>
          <w:i/>
          <w:iCs/>
          <w:sz w:val="26"/>
          <w:szCs w:val="26"/>
        </w:rPr>
        <w:t>Gainer</w:t>
      </w:r>
      <w:r w:rsidR="009650EC" w:rsidRPr="00BE10AE">
        <w:rPr>
          <w:rFonts w:ascii="Garamond" w:hAnsi="Garamond"/>
          <w:sz w:val="26"/>
          <w:szCs w:val="26"/>
        </w:rPr>
        <w:t xml:space="preserve"> is still good law </w:t>
      </w:r>
      <w:r w:rsidR="00E623D3" w:rsidRPr="00BE10AE">
        <w:rPr>
          <w:rFonts w:ascii="Garamond" w:hAnsi="Garamond"/>
          <w:sz w:val="26"/>
          <w:szCs w:val="26"/>
        </w:rPr>
        <w:t>on at least certain points, and if you find a trial judge referencing the expense of trial</w:t>
      </w:r>
      <w:r w:rsidR="001F1052" w:rsidRPr="00BE10AE">
        <w:rPr>
          <w:rFonts w:ascii="Garamond" w:hAnsi="Garamond"/>
          <w:sz w:val="26"/>
          <w:szCs w:val="26"/>
        </w:rPr>
        <w:t xml:space="preserve"> or suggesting the minority reconsider its views, you should consider challenging that instruction</w:t>
      </w:r>
      <w:r w:rsidR="004C6D1D" w:rsidRPr="00BE10AE">
        <w:rPr>
          <w:rFonts w:ascii="Garamond" w:hAnsi="Garamond"/>
          <w:sz w:val="26"/>
          <w:szCs w:val="26"/>
        </w:rPr>
        <w:t>.</w:t>
      </w:r>
    </w:p>
    <w:p w14:paraId="5A7CBA87" w14:textId="66B6B811" w:rsidR="005438EC" w:rsidRPr="00BE10AE" w:rsidRDefault="005438EC" w:rsidP="00310FA2">
      <w:pPr>
        <w:pStyle w:val="ListParagraph"/>
        <w:numPr>
          <w:ilvl w:val="1"/>
          <w:numId w:val="2"/>
        </w:numPr>
        <w:spacing w:line="360" w:lineRule="auto"/>
        <w:rPr>
          <w:rFonts w:ascii="Garamond" w:hAnsi="Garamond"/>
          <w:b/>
          <w:bCs/>
          <w:sz w:val="26"/>
          <w:szCs w:val="26"/>
        </w:rPr>
      </w:pPr>
      <w:r w:rsidRPr="00BE10AE">
        <w:rPr>
          <w:rFonts w:ascii="Garamond" w:hAnsi="Garamond"/>
          <w:b/>
          <w:bCs/>
          <w:sz w:val="26"/>
          <w:szCs w:val="26"/>
        </w:rPr>
        <w:t>How else might the judge interfere with the jury?</w:t>
      </w:r>
    </w:p>
    <w:p w14:paraId="0AC062E2" w14:textId="3A34CA17" w:rsidR="005438EC" w:rsidRPr="00BE10AE" w:rsidRDefault="00561FD8" w:rsidP="003D3BE9">
      <w:pPr>
        <w:spacing w:line="360" w:lineRule="auto"/>
        <w:ind w:firstLine="360"/>
        <w:contextualSpacing/>
        <w:rPr>
          <w:rFonts w:ascii="Garamond" w:hAnsi="Garamond"/>
          <w:sz w:val="26"/>
          <w:szCs w:val="26"/>
        </w:rPr>
      </w:pPr>
      <w:r w:rsidRPr="00BE10AE">
        <w:rPr>
          <w:rFonts w:ascii="Garamond" w:hAnsi="Garamond"/>
          <w:sz w:val="26"/>
          <w:szCs w:val="26"/>
        </w:rPr>
        <w:t xml:space="preserve">Try this one: </w:t>
      </w:r>
      <w:r w:rsidR="001963CE" w:rsidRPr="00BE10AE">
        <w:rPr>
          <w:rFonts w:ascii="Garamond" w:hAnsi="Garamond"/>
          <w:sz w:val="26"/>
          <w:szCs w:val="26"/>
        </w:rPr>
        <w:t>Your</w:t>
      </w:r>
      <w:r w:rsidRPr="00BE10AE">
        <w:rPr>
          <w:rFonts w:ascii="Garamond" w:hAnsi="Garamond"/>
          <w:sz w:val="26"/>
          <w:szCs w:val="26"/>
        </w:rPr>
        <w:t xml:space="preserve"> client </w:t>
      </w:r>
      <w:r w:rsidR="001963CE" w:rsidRPr="00BE10AE">
        <w:rPr>
          <w:rFonts w:ascii="Garamond" w:hAnsi="Garamond"/>
          <w:sz w:val="26"/>
          <w:szCs w:val="26"/>
        </w:rPr>
        <w:t>was</w:t>
      </w:r>
      <w:r w:rsidRPr="00BE10AE">
        <w:rPr>
          <w:rFonts w:ascii="Garamond" w:hAnsi="Garamond"/>
          <w:sz w:val="26"/>
          <w:szCs w:val="26"/>
        </w:rPr>
        <w:t xml:space="preserve"> charged with </w:t>
      </w:r>
      <w:r w:rsidRPr="00BE10AE">
        <w:rPr>
          <w:rFonts w:ascii="Garamond" w:hAnsi="Garamond"/>
          <w:i/>
          <w:iCs/>
          <w:sz w:val="26"/>
          <w:szCs w:val="26"/>
        </w:rPr>
        <w:t>Watson</w:t>
      </w:r>
      <w:r w:rsidRPr="00BE10AE">
        <w:rPr>
          <w:rFonts w:ascii="Garamond" w:hAnsi="Garamond"/>
          <w:sz w:val="26"/>
          <w:szCs w:val="26"/>
        </w:rPr>
        <w:t xml:space="preserve"> murder</w:t>
      </w:r>
      <w:r w:rsidR="00604F90" w:rsidRPr="00BE10AE">
        <w:rPr>
          <w:rFonts w:ascii="Garamond" w:hAnsi="Garamond"/>
          <w:sz w:val="26"/>
          <w:szCs w:val="26"/>
        </w:rPr>
        <w:t xml:space="preserve">. He was driving a Corvette </w:t>
      </w:r>
      <w:r w:rsidR="001F1052" w:rsidRPr="00BE10AE">
        <w:rPr>
          <w:rFonts w:ascii="Garamond" w:hAnsi="Garamond"/>
          <w:sz w:val="26"/>
          <w:szCs w:val="26"/>
        </w:rPr>
        <w:t xml:space="preserve">while </w:t>
      </w:r>
      <w:r w:rsidR="00604F90" w:rsidRPr="00BE10AE">
        <w:rPr>
          <w:rFonts w:ascii="Garamond" w:hAnsi="Garamond"/>
          <w:sz w:val="26"/>
          <w:szCs w:val="26"/>
        </w:rPr>
        <w:t>drunk</w:t>
      </w:r>
      <w:r w:rsidR="00C52D8E" w:rsidRPr="00BE10AE">
        <w:rPr>
          <w:rFonts w:ascii="Garamond" w:hAnsi="Garamond"/>
          <w:sz w:val="26"/>
          <w:szCs w:val="26"/>
        </w:rPr>
        <w:t>—very drunk—</w:t>
      </w:r>
      <w:r w:rsidR="00604F90" w:rsidRPr="00BE10AE">
        <w:rPr>
          <w:rFonts w:ascii="Garamond" w:hAnsi="Garamond"/>
          <w:sz w:val="26"/>
          <w:szCs w:val="26"/>
        </w:rPr>
        <w:t>and he was driving way too fast</w:t>
      </w:r>
      <w:r w:rsidR="0061608C" w:rsidRPr="00BE10AE">
        <w:rPr>
          <w:rFonts w:ascii="Garamond" w:hAnsi="Garamond"/>
          <w:sz w:val="26"/>
          <w:szCs w:val="26"/>
        </w:rPr>
        <w:t xml:space="preserve">—90 </w:t>
      </w:r>
      <w:r w:rsidR="00FD798A" w:rsidRPr="00BE10AE">
        <w:rPr>
          <w:rFonts w:ascii="Garamond" w:hAnsi="Garamond"/>
          <w:sz w:val="26"/>
          <w:szCs w:val="26"/>
        </w:rPr>
        <w:t xml:space="preserve">miles per hour </w:t>
      </w:r>
      <w:r w:rsidR="0061608C" w:rsidRPr="00BE10AE">
        <w:rPr>
          <w:rFonts w:ascii="Garamond" w:hAnsi="Garamond"/>
          <w:sz w:val="26"/>
          <w:szCs w:val="26"/>
        </w:rPr>
        <w:t>in a 35</w:t>
      </w:r>
      <w:r w:rsidR="009065EA" w:rsidRPr="00BE10AE">
        <w:rPr>
          <w:rFonts w:ascii="Garamond" w:hAnsi="Garamond"/>
          <w:sz w:val="26"/>
          <w:szCs w:val="26"/>
        </w:rPr>
        <w:t xml:space="preserve"> mi</w:t>
      </w:r>
      <w:r w:rsidR="00D84D99" w:rsidRPr="00BE10AE">
        <w:rPr>
          <w:rFonts w:ascii="Garamond" w:hAnsi="Garamond"/>
          <w:sz w:val="26"/>
          <w:szCs w:val="26"/>
        </w:rPr>
        <w:t>l</w:t>
      </w:r>
      <w:r w:rsidR="005A41B7" w:rsidRPr="00BE10AE">
        <w:rPr>
          <w:rFonts w:ascii="Garamond" w:hAnsi="Garamond"/>
          <w:sz w:val="26"/>
          <w:szCs w:val="26"/>
        </w:rPr>
        <w:t>e-</w:t>
      </w:r>
      <w:r w:rsidR="00FD798A" w:rsidRPr="00BE10AE">
        <w:rPr>
          <w:rFonts w:ascii="Garamond" w:hAnsi="Garamond"/>
          <w:sz w:val="26"/>
          <w:szCs w:val="26"/>
        </w:rPr>
        <w:t>per</w:t>
      </w:r>
      <w:r w:rsidR="005A41B7" w:rsidRPr="00BE10AE">
        <w:rPr>
          <w:rFonts w:ascii="Garamond" w:hAnsi="Garamond"/>
          <w:sz w:val="26"/>
          <w:szCs w:val="26"/>
        </w:rPr>
        <w:t xml:space="preserve">-hour </w:t>
      </w:r>
      <w:r w:rsidR="009065EA" w:rsidRPr="00BE10AE">
        <w:rPr>
          <w:rFonts w:ascii="Garamond" w:hAnsi="Garamond"/>
          <w:sz w:val="26"/>
          <w:szCs w:val="26"/>
        </w:rPr>
        <w:t>zone</w:t>
      </w:r>
      <w:r w:rsidR="00604F90" w:rsidRPr="00BE10AE">
        <w:rPr>
          <w:rFonts w:ascii="Garamond" w:hAnsi="Garamond"/>
          <w:sz w:val="26"/>
          <w:szCs w:val="26"/>
        </w:rPr>
        <w:t xml:space="preserve">. He ended up hopping a curb </w:t>
      </w:r>
      <w:r w:rsidR="00C32D98" w:rsidRPr="00BE10AE">
        <w:rPr>
          <w:rFonts w:ascii="Garamond" w:hAnsi="Garamond"/>
          <w:sz w:val="26"/>
          <w:szCs w:val="26"/>
        </w:rPr>
        <w:t xml:space="preserve">and crashing into a family party, killing a </w:t>
      </w:r>
      <w:r w:rsidR="009848B9">
        <w:rPr>
          <w:rFonts w:ascii="Garamond" w:hAnsi="Garamond"/>
          <w:sz w:val="26"/>
          <w:szCs w:val="26"/>
        </w:rPr>
        <w:t xml:space="preserve">young </w:t>
      </w:r>
      <w:r w:rsidR="00C32D98" w:rsidRPr="00BE10AE">
        <w:rPr>
          <w:rFonts w:ascii="Garamond" w:hAnsi="Garamond"/>
          <w:sz w:val="26"/>
          <w:szCs w:val="26"/>
        </w:rPr>
        <w:t xml:space="preserve">mother and her one-year-old daughter. </w:t>
      </w:r>
    </w:p>
    <w:p w14:paraId="6D80E937" w14:textId="3FDF3205" w:rsidR="00C32D98" w:rsidRPr="00BE10AE" w:rsidRDefault="00C32D98" w:rsidP="003D3BE9">
      <w:pPr>
        <w:spacing w:line="360" w:lineRule="auto"/>
        <w:ind w:firstLine="360"/>
        <w:contextualSpacing/>
        <w:rPr>
          <w:rFonts w:ascii="Garamond" w:hAnsi="Garamond"/>
          <w:sz w:val="26"/>
          <w:szCs w:val="26"/>
        </w:rPr>
      </w:pPr>
      <w:r w:rsidRPr="00BE10AE">
        <w:rPr>
          <w:rFonts w:ascii="Garamond" w:hAnsi="Garamond"/>
          <w:sz w:val="26"/>
          <w:szCs w:val="26"/>
        </w:rPr>
        <w:t xml:space="preserve">Yikes. </w:t>
      </w:r>
    </w:p>
    <w:p w14:paraId="708ED257" w14:textId="110C32F8" w:rsidR="00C32D98" w:rsidRPr="00BE10AE" w:rsidRDefault="00BC6E4B" w:rsidP="003D3BE9">
      <w:pPr>
        <w:spacing w:line="360" w:lineRule="auto"/>
        <w:ind w:firstLine="360"/>
        <w:contextualSpacing/>
        <w:rPr>
          <w:rFonts w:ascii="Garamond" w:hAnsi="Garamond"/>
          <w:sz w:val="26"/>
          <w:szCs w:val="26"/>
        </w:rPr>
      </w:pPr>
      <w:r w:rsidRPr="00BE10AE">
        <w:rPr>
          <w:rFonts w:ascii="Garamond" w:hAnsi="Garamond"/>
          <w:sz w:val="26"/>
          <w:szCs w:val="26"/>
        </w:rPr>
        <w:t>At trial, defense</w:t>
      </w:r>
      <w:r w:rsidR="005A41B7" w:rsidRPr="00BE10AE">
        <w:rPr>
          <w:rFonts w:ascii="Garamond" w:hAnsi="Garamond"/>
          <w:sz w:val="26"/>
          <w:szCs w:val="26"/>
        </w:rPr>
        <w:t xml:space="preserve"> counsel</w:t>
      </w:r>
      <w:r w:rsidRPr="00BE10AE">
        <w:rPr>
          <w:rFonts w:ascii="Garamond" w:hAnsi="Garamond"/>
          <w:sz w:val="26"/>
          <w:szCs w:val="26"/>
        </w:rPr>
        <w:t xml:space="preserve"> didn</w:t>
      </w:r>
      <w:r w:rsidR="00345E47" w:rsidRPr="00BE10AE">
        <w:rPr>
          <w:rFonts w:ascii="Garamond" w:hAnsi="Garamond"/>
          <w:sz w:val="26"/>
          <w:szCs w:val="26"/>
        </w:rPr>
        <w:t>’</w:t>
      </w:r>
      <w:r w:rsidRPr="00BE10AE">
        <w:rPr>
          <w:rFonts w:ascii="Garamond" w:hAnsi="Garamond"/>
          <w:sz w:val="26"/>
          <w:szCs w:val="26"/>
        </w:rPr>
        <w:t xml:space="preserve">t contest that </w:t>
      </w:r>
      <w:r w:rsidR="000B1574" w:rsidRPr="00BE10AE">
        <w:rPr>
          <w:rFonts w:ascii="Garamond" w:hAnsi="Garamond"/>
          <w:sz w:val="26"/>
          <w:szCs w:val="26"/>
        </w:rPr>
        <w:t>your</w:t>
      </w:r>
      <w:r w:rsidRPr="00BE10AE">
        <w:rPr>
          <w:rFonts w:ascii="Garamond" w:hAnsi="Garamond"/>
          <w:sz w:val="26"/>
          <w:szCs w:val="26"/>
        </w:rPr>
        <w:t xml:space="preserve"> client was the driver</w:t>
      </w:r>
      <w:r w:rsidR="000B1574" w:rsidRPr="00BE10AE">
        <w:rPr>
          <w:rFonts w:ascii="Garamond" w:hAnsi="Garamond"/>
          <w:sz w:val="26"/>
          <w:szCs w:val="26"/>
        </w:rPr>
        <w:t xml:space="preserve">, </w:t>
      </w:r>
      <w:r w:rsidRPr="00BE10AE">
        <w:rPr>
          <w:rFonts w:ascii="Garamond" w:hAnsi="Garamond"/>
          <w:sz w:val="26"/>
          <w:szCs w:val="26"/>
        </w:rPr>
        <w:t>that he was drunk</w:t>
      </w:r>
      <w:r w:rsidR="000B1574" w:rsidRPr="00BE10AE">
        <w:rPr>
          <w:rFonts w:ascii="Garamond" w:hAnsi="Garamond"/>
          <w:sz w:val="26"/>
          <w:szCs w:val="26"/>
        </w:rPr>
        <w:t xml:space="preserve">, </w:t>
      </w:r>
      <w:r w:rsidRPr="00BE10AE">
        <w:rPr>
          <w:rFonts w:ascii="Garamond" w:hAnsi="Garamond"/>
          <w:sz w:val="26"/>
          <w:szCs w:val="26"/>
        </w:rPr>
        <w:t>or that he was grossly negligent in how he drove</w:t>
      </w:r>
      <w:r w:rsidR="00241ED9" w:rsidRPr="00BE10AE">
        <w:rPr>
          <w:rFonts w:ascii="Garamond" w:hAnsi="Garamond"/>
          <w:sz w:val="26"/>
          <w:szCs w:val="26"/>
        </w:rPr>
        <w:t>.</w:t>
      </w:r>
      <w:r w:rsidR="005E6B4E" w:rsidRPr="00BE10AE">
        <w:rPr>
          <w:rFonts w:ascii="Garamond" w:hAnsi="Garamond"/>
          <w:sz w:val="26"/>
          <w:szCs w:val="26"/>
        </w:rPr>
        <w:t xml:space="preserve"> Rather, the defense was just that he did not have the mental state </w:t>
      </w:r>
      <w:r w:rsidR="00E33869" w:rsidRPr="00BE10AE">
        <w:rPr>
          <w:rFonts w:ascii="Garamond" w:hAnsi="Garamond"/>
          <w:sz w:val="26"/>
          <w:szCs w:val="26"/>
        </w:rPr>
        <w:t xml:space="preserve">required </w:t>
      </w:r>
      <w:r w:rsidR="005E6B4E" w:rsidRPr="00BE10AE">
        <w:rPr>
          <w:rFonts w:ascii="Garamond" w:hAnsi="Garamond"/>
          <w:sz w:val="26"/>
          <w:szCs w:val="26"/>
        </w:rPr>
        <w:t>for murder</w:t>
      </w:r>
      <w:r w:rsidR="000B4FEF" w:rsidRPr="00BE10AE">
        <w:rPr>
          <w:rFonts w:ascii="Garamond" w:hAnsi="Garamond"/>
          <w:sz w:val="26"/>
          <w:szCs w:val="26"/>
        </w:rPr>
        <w:t>: he did not exhibit a conscious disregard for human life</w:t>
      </w:r>
      <w:r w:rsidR="00241ED9" w:rsidRPr="00BE10AE">
        <w:rPr>
          <w:rFonts w:ascii="Garamond" w:hAnsi="Garamond"/>
          <w:sz w:val="26"/>
          <w:szCs w:val="26"/>
        </w:rPr>
        <w:t xml:space="preserve">. And </w:t>
      </w:r>
      <w:r w:rsidR="00316E1B" w:rsidRPr="00BE10AE">
        <w:rPr>
          <w:rFonts w:ascii="Garamond" w:hAnsi="Garamond"/>
          <w:sz w:val="26"/>
          <w:szCs w:val="26"/>
        </w:rPr>
        <w:t>the defense went</w:t>
      </w:r>
      <w:r w:rsidR="00241ED9" w:rsidRPr="00BE10AE">
        <w:rPr>
          <w:rFonts w:ascii="Garamond" w:hAnsi="Garamond"/>
          <w:sz w:val="26"/>
          <w:szCs w:val="26"/>
        </w:rPr>
        <w:t xml:space="preserve"> pretty </w:t>
      </w:r>
      <w:r w:rsidR="00AE320E" w:rsidRPr="00BE10AE">
        <w:rPr>
          <w:rFonts w:ascii="Garamond" w:hAnsi="Garamond"/>
          <w:sz w:val="26"/>
          <w:szCs w:val="26"/>
        </w:rPr>
        <w:t>well</w:t>
      </w:r>
      <w:r w:rsidR="005E6B4E" w:rsidRPr="00BE10AE">
        <w:rPr>
          <w:rFonts w:ascii="Garamond" w:hAnsi="Garamond"/>
          <w:sz w:val="26"/>
          <w:szCs w:val="26"/>
        </w:rPr>
        <w:t xml:space="preserve"> for a while</w:t>
      </w:r>
      <w:r w:rsidR="00AE320E" w:rsidRPr="00BE10AE">
        <w:rPr>
          <w:rFonts w:ascii="Garamond" w:hAnsi="Garamond"/>
          <w:sz w:val="26"/>
          <w:szCs w:val="26"/>
        </w:rPr>
        <w:t>. Defense counsel somehow kept out the client</w:t>
      </w:r>
      <w:r w:rsidR="00345E47" w:rsidRPr="00BE10AE">
        <w:rPr>
          <w:rFonts w:ascii="Garamond" w:hAnsi="Garamond"/>
          <w:sz w:val="26"/>
          <w:szCs w:val="26"/>
        </w:rPr>
        <w:t>’</w:t>
      </w:r>
      <w:r w:rsidR="00AE320E" w:rsidRPr="00BE10AE">
        <w:rPr>
          <w:rFonts w:ascii="Garamond" w:hAnsi="Garamond"/>
          <w:sz w:val="26"/>
          <w:szCs w:val="26"/>
        </w:rPr>
        <w:t xml:space="preserve">s prior DUI. And in the jury room, the jurors </w:t>
      </w:r>
      <w:r w:rsidR="005E6B4E" w:rsidRPr="00BE10AE">
        <w:rPr>
          <w:rFonts w:ascii="Garamond" w:hAnsi="Garamond"/>
          <w:sz w:val="26"/>
          <w:szCs w:val="26"/>
        </w:rPr>
        <w:t>spent a lot time debating</w:t>
      </w:r>
      <w:r w:rsidR="00AE320E" w:rsidRPr="00BE10AE">
        <w:rPr>
          <w:rFonts w:ascii="Garamond" w:hAnsi="Garamond"/>
          <w:sz w:val="26"/>
          <w:szCs w:val="26"/>
        </w:rPr>
        <w:t xml:space="preserve"> about whether </w:t>
      </w:r>
      <w:r w:rsidR="009A6E86" w:rsidRPr="00BE10AE">
        <w:rPr>
          <w:rFonts w:ascii="Garamond" w:hAnsi="Garamond"/>
          <w:sz w:val="26"/>
          <w:szCs w:val="26"/>
        </w:rPr>
        <w:t>your</w:t>
      </w:r>
      <w:r w:rsidR="00AE320E" w:rsidRPr="00BE10AE">
        <w:rPr>
          <w:rFonts w:ascii="Garamond" w:hAnsi="Garamond"/>
          <w:sz w:val="26"/>
          <w:szCs w:val="26"/>
        </w:rPr>
        <w:t xml:space="preserve"> client </w:t>
      </w:r>
      <w:r w:rsidR="00B21DDE" w:rsidRPr="00BE10AE">
        <w:rPr>
          <w:rFonts w:ascii="Garamond" w:hAnsi="Garamond"/>
          <w:sz w:val="26"/>
          <w:szCs w:val="26"/>
        </w:rPr>
        <w:t xml:space="preserve">knew he </w:t>
      </w:r>
      <w:r w:rsidR="0076413A" w:rsidRPr="00BE10AE">
        <w:rPr>
          <w:rFonts w:ascii="Garamond" w:hAnsi="Garamond"/>
          <w:sz w:val="26"/>
          <w:szCs w:val="26"/>
        </w:rPr>
        <w:t>was likely to</w:t>
      </w:r>
      <w:r w:rsidR="00BA6A51" w:rsidRPr="00BE10AE">
        <w:rPr>
          <w:rFonts w:ascii="Garamond" w:hAnsi="Garamond"/>
          <w:sz w:val="26"/>
          <w:szCs w:val="26"/>
        </w:rPr>
        <w:t xml:space="preserve"> kill someone. </w:t>
      </w:r>
      <w:r w:rsidR="00151FC2" w:rsidRPr="00BE10AE">
        <w:rPr>
          <w:rFonts w:ascii="Garamond" w:hAnsi="Garamond"/>
          <w:sz w:val="26"/>
          <w:szCs w:val="26"/>
        </w:rPr>
        <w:t xml:space="preserve">At least one juror was having serious problems </w:t>
      </w:r>
      <w:r w:rsidR="009A6E86" w:rsidRPr="00BE10AE">
        <w:rPr>
          <w:rFonts w:ascii="Garamond" w:hAnsi="Garamond"/>
          <w:sz w:val="26"/>
          <w:szCs w:val="26"/>
        </w:rPr>
        <w:t>with this aspect of the charge, and it looked like things were heading towards a hung jury</w:t>
      </w:r>
      <w:r w:rsidR="00151FC2" w:rsidRPr="00BE10AE">
        <w:rPr>
          <w:rFonts w:ascii="Garamond" w:hAnsi="Garamond"/>
          <w:sz w:val="26"/>
          <w:szCs w:val="26"/>
        </w:rPr>
        <w:t xml:space="preserve">. </w:t>
      </w:r>
      <w:r w:rsidR="00BA6A51" w:rsidRPr="00BE10AE">
        <w:rPr>
          <w:rFonts w:ascii="Garamond" w:hAnsi="Garamond"/>
          <w:sz w:val="26"/>
          <w:szCs w:val="26"/>
        </w:rPr>
        <w:t xml:space="preserve">That is, until one of the jurors who had done some internet sleuthing </w:t>
      </w:r>
      <w:r w:rsidR="00746220" w:rsidRPr="00BE10AE">
        <w:rPr>
          <w:rFonts w:ascii="Garamond" w:hAnsi="Garamond"/>
          <w:sz w:val="26"/>
          <w:szCs w:val="26"/>
        </w:rPr>
        <w:t>told the potential holdout</w:t>
      </w:r>
      <w:r w:rsidR="00BA6A51" w:rsidRPr="00BE10AE">
        <w:rPr>
          <w:rFonts w:ascii="Garamond" w:hAnsi="Garamond"/>
          <w:sz w:val="26"/>
          <w:szCs w:val="26"/>
        </w:rPr>
        <w:t xml:space="preserve">, </w:t>
      </w:r>
      <w:r w:rsidR="00345E47" w:rsidRPr="00BE10AE">
        <w:rPr>
          <w:rFonts w:ascii="Garamond" w:hAnsi="Garamond"/>
          <w:sz w:val="26"/>
          <w:szCs w:val="26"/>
        </w:rPr>
        <w:t>“</w:t>
      </w:r>
      <w:r w:rsidR="00746220" w:rsidRPr="00BE10AE">
        <w:rPr>
          <w:rFonts w:ascii="Garamond" w:hAnsi="Garamond"/>
          <w:sz w:val="26"/>
          <w:szCs w:val="26"/>
        </w:rPr>
        <w:t>Y</w:t>
      </w:r>
      <w:r w:rsidR="00151FC2" w:rsidRPr="00BE10AE">
        <w:rPr>
          <w:rFonts w:ascii="Garamond" w:hAnsi="Garamond"/>
          <w:sz w:val="26"/>
          <w:szCs w:val="26"/>
        </w:rPr>
        <w:t>ou know this guy</w:t>
      </w:r>
      <w:r w:rsidR="00BA6A51" w:rsidRPr="00BE10AE">
        <w:rPr>
          <w:rFonts w:ascii="Garamond" w:hAnsi="Garamond"/>
          <w:sz w:val="26"/>
          <w:szCs w:val="26"/>
        </w:rPr>
        <w:t xml:space="preserve"> has a prior DUI</w:t>
      </w:r>
      <w:r w:rsidR="00151FC2" w:rsidRPr="00BE10AE">
        <w:rPr>
          <w:rFonts w:ascii="Garamond" w:hAnsi="Garamond"/>
          <w:sz w:val="26"/>
          <w:szCs w:val="26"/>
        </w:rPr>
        <w:t>, right?</w:t>
      </w:r>
      <w:r w:rsidR="00345E47" w:rsidRPr="00BE10AE">
        <w:rPr>
          <w:rFonts w:ascii="Garamond" w:hAnsi="Garamond"/>
          <w:sz w:val="26"/>
          <w:szCs w:val="26"/>
        </w:rPr>
        <w:t>”</w:t>
      </w:r>
      <w:r w:rsidR="00BA6A51" w:rsidRPr="00BE10AE">
        <w:rPr>
          <w:rFonts w:ascii="Garamond" w:hAnsi="Garamond"/>
          <w:sz w:val="26"/>
          <w:szCs w:val="26"/>
        </w:rPr>
        <w:t xml:space="preserve"> </w:t>
      </w:r>
    </w:p>
    <w:p w14:paraId="1234DE2B" w14:textId="1931490C" w:rsidR="00972407" w:rsidRPr="00BE10AE" w:rsidRDefault="00746220" w:rsidP="003D3BE9">
      <w:pPr>
        <w:spacing w:line="360" w:lineRule="auto"/>
        <w:ind w:firstLine="360"/>
        <w:contextualSpacing/>
        <w:rPr>
          <w:rFonts w:ascii="Garamond" w:hAnsi="Garamond"/>
          <w:sz w:val="26"/>
          <w:szCs w:val="26"/>
        </w:rPr>
      </w:pPr>
      <w:r w:rsidRPr="00BE10AE">
        <w:rPr>
          <w:rFonts w:ascii="Garamond" w:hAnsi="Garamond"/>
          <w:sz w:val="26"/>
          <w:szCs w:val="26"/>
        </w:rPr>
        <w:t>The other</w:t>
      </w:r>
      <w:r w:rsidR="005530F9" w:rsidRPr="00BE10AE">
        <w:rPr>
          <w:rFonts w:ascii="Garamond" w:hAnsi="Garamond"/>
          <w:sz w:val="26"/>
          <w:szCs w:val="26"/>
        </w:rPr>
        <w:t xml:space="preserve"> jurors </w:t>
      </w:r>
      <w:r w:rsidRPr="00BE10AE">
        <w:rPr>
          <w:rFonts w:ascii="Garamond" w:hAnsi="Garamond"/>
          <w:sz w:val="26"/>
          <w:szCs w:val="26"/>
        </w:rPr>
        <w:t xml:space="preserve">immediately </w:t>
      </w:r>
      <w:r w:rsidR="005530F9" w:rsidRPr="00BE10AE">
        <w:rPr>
          <w:rFonts w:ascii="Garamond" w:hAnsi="Garamond"/>
          <w:sz w:val="26"/>
          <w:szCs w:val="26"/>
        </w:rPr>
        <w:t xml:space="preserve">alerted the judge to the improper comments. But </w:t>
      </w:r>
      <w:r w:rsidR="00F155CD" w:rsidRPr="00BE10AE">
        <w:rPr>
          <w:rFonts w:ascii="Garamond" w:hAnsi="Garamond"/>
          <w:sz w:val="26"/>
          <w:szCs w:val="26"/>
        </w:rPr>
        <w:t>the potential holdout said she was</w:t>
      </w:r>
      <w:r w:rsidR="006F20FC" w:rsidRPr="00BE10AE">
        <w:rPr>
          <w:rFonts w:ascii="Garamond" w:hAnsi="Garamond"/>
          <w:sz w:val="26"/>
          <w:szCs w:val="26"/>
        </w:rPr>
        <w:t xml:space="preserve"> especially upset </w:t>
      </w:r>
      <w:r w:rsidR="00F155CD" w:rsidRPr="00BE10AE">
        <w:rPr>
          <w:rFonts w:ascii="Garamond" w:hAnsi="Garamond"/>
          <w:sz w:val="26"/>
          <w:szCs w:val="26"/>
        </w:rPr>
        <w:t xml:space="preserve">about the information </w:t>
      </w:r>
      <w:r w:rsidR="006F20FC" w:rsidRPr="00BE10AE">
        <w:rPr>
          <w:rFonts w:ascii="Garamond" w:hAnsi="Garamond"/>
          <w:sz w:val="26"/>
          <w:szCs w:val="26"/>
        </w:rPr>
        <w:t>because she believe</w:t>
      </w:r>
      <w:r w:rsidR="00026E23">
        <w:rPr>
          <w:rFonts w:ascii="Garamond" w:hAnsi="Garamond"/>
          <w:sz w:val="26"/>
          <w:szCs w:val="26"/>
        </w:rPr>
        <w:t>d</w:t>
      </w:r>
      <w:r w:rsidR="006F20FC" w:rsidRPr="00BE10AE">
        <w:rPr>
          <w:rFonts w:ascii="Garamond" w:hAnsi="Garamond"/>
          <w:sz w:val="26"/>
          <w:szCs w:val="26"/>
        </w:rPr>
        <w:t xml:space="preserve"> </w:t>
      </w:r>
      <w:r w:rsidR="00F155CD" w:rsidRPr="00BE10AE">
        <w:rPr>
          <w:rFonts w:ascii="Garamond" w:hAnsi="Garamond"/>
          <w:sz w:val="26"/>
          <w:szCs w:val="26"/>
        </w:rPr>
        <w:t>it</w:t>
      </w:r>
      <w:r w:rsidR="006F20FC" w:rsidRPr="00BE10AE">
        <w:rPr>
          <w:rFonts w:ascii="Garamond" w:hAnsi="Garamond"/>
          <w:sz w:val="26"/>
          <w:szCs w:val="26"/>
        </w:rPr>
        <w:t xml:space="preserve"> </w:t>
      </w:r>
      <w:r w:rsidR="00026E23">
        <w:rPr>
          <w:rFonts w:ascii="Garamond" w:hAnsi="Garamond"/>
          <w:sz w:val="26"/>
          <w:szCs w:val="26"/>
        </w:rPr>
        <w:t>had been</w:t>
      </w:r>
      <w:r w:rsidR="006F20FC" w:rsidRPr="00BE10AE">
        <w:rPr>
          <w:rFonts w:ascii="Garamond" w:hAnsi="Garamond"/>
          <w:sz w:val="26"/>
          <w:szCs w:val="26"/>
        </w:rPr>
        <w:t xml:space="preserve"> revealed to coerce her into convicting</w:t>
      </w:r>
      <w:r w:rsidR="00564E0E" w:rsidRPr="00BE10AE">
        <w:rPr>
          <w:rFonts w:ascii="Garamond" w:hAnsi="Garamond"/>
          <w:sz w:val="26"/>
          <w:szCs w:val="26"/>
        </w:rPr>
        <w:t xml:space="preserve">. </w:t>
      </w:r>
      <w:r w:rsidR="00F155CD" w:rsidRPr="00BE10AE">
        <w:rPr>
          <w:rFonts w:ascii="Garamond" w:hAnsi="Garamond"/>
          <w:sz w:val="26"/>
          <w:szCs w:val="26"/>
        </w:rPr>
        <w:t xml:space="preserve">She </w:t>
      </w:r>
      <w:r w:rsidR="001F53CF" w:rsidRPr="00BE10AE">
        <w:rPr>
          <w:rFonts w:ascii="Garamond" w:hAnsi="Garamond"/>
          <w:sz w:val="26"/>
          <w:szCs w:val="26"/>
        </w:rPr>
        <w:t xml:space="preserve">agreed with the court that it was “fair to say” </w:t>
      </w:r>
      <w:r w:rsidR="001F6520">
        <w:rPr>
          <w:rFonts w:ascii="Garamond" w:hAnsi="Garamond"/>
          <w:sz w:val="26"/>
          <w:szCs w:val="26"/>
        </w:rPr>
        <w:t xml:space="preserve">that </w:t>
      </w:r>
      <w:r w:rsidR="001F53CF" w:rsidRPr="00BE10AE">
        <w:rPr>
          <w:rFonts w:ascii="Garamond" w:hAnsi="Garamond"/>
          <w:sz w:val="26"/>
          <w:szCs w:val="26"/>
        </w:rPr>
        <w:t xml:space="preserve">it </w:t>
      </w:r>
      <w:r w:rsidR="00F155CD" w:rsidRPr="00BE10AE">
        <w:rPr>
          <w:rFonts w:ascii="Garamond" w:hAnsi="Garamond"/>
          <w:sz w:val="26"/>
          <w:szCs w:val="26"/>
        </w:rPr>
        <w:t>would be very difficult for her to continue deliberating.</w:t>
      </w:r>
    </w:p>
    <w:p w14:paraId="4FCAA401" w14:textId="0014815B" w:rsidR="006F20FC" w:rsidRPr="00BE10AE" w:rsidRDefault="006F20FC" w:rsidP="003D3BE9">
      <w:pPr>
        <w:spacing w:line="360" w:lineRule="auto"/>
        <w:ind w:firstLine="360"/>
        <w:contextualSpacing/>
        <w:rPr>
          <w:rFonts w:ascii="Garamond" w:hAnsi="Garamond"/>
          <w:sz w:val="26"/>
          <w:szCs w:val="26"/>
        </w:rPr>
      </w:pPr>
      <w:r w:rsidRPr="00BE10AE">
        <w:rPr>
          <w:rFonts w:ascii="Garamond" w:hAnsi="Garamond"/>
          <w:sz w:val="26"/>
          <w:szCs w:val="26"/>
        </w:rPr>
        <w:t>So what did the</w:t>
      </w:r>
      <w:r w:rsidR="007C48D7" w:rsidRPr="00BE10AE">
        <w:rPr>
          <w:rFonts w:ascii="Garamond" w:hAnsi="Garamond"/>
          <w:sz w:val="26"/>
          <w:szCs w:val="26"/>
        </w:rPr>
        <w:t xml:space="preserve"> trial court do? Declare a mistrial because the jury was irreparably tainted by </w:t>
      </w:r>
      <w:r w:rsidR="00216C15" w:rsidRPr="00BE10AE">
        <w:rPr>
          <w:rFonts w:ascii="Garamond" w:hAnsi="Garamond"/>
          <w:sz w:val="26"/>
          <w:szCs w:val="26"/>
        </w:rPr>
        <w:t>juror</w:t>
      </w:r>
      <w:r w:rsidR="007C48D7" w:rsidRPr="00BE10AE">
        <w:rPr>
          <w:rFonts w:ascii="Garamond" w:hAnsi="Garamond"/>
          <w:sz w:val="26"/>
          <w:szCs w:val="26"/>
        </w:rPr>
        <w:t xml:space="preserve"> misconduct? Nope. The judge removed </w:t>
      </w:r>
      <w:r w:rsidR="00B3217C" w:rsidRPr="00BE10AE">
        <w:rPr>
          <w:rFonts w:ascii="Garamond" w:hAnsi="Garamond"/>
          <w:sz w:val="26"/>
          <w:szCs w:val="26"/>
        </w:rPr>
        <w:t>both</w:t>
      </w:r>
      <w:r w:rsidR="007C48D7" w:rsidRPr="00BE10AE">
        <w:rPr>
          <w:rFonts w:ascii="Garamond" w:hAnsi="Garamond"/>
          <w:sz w:val="26"/>
          <w:szCs w:val="26"/>
        </w:rPr>
        <w:t xml:space="preserve"> the juror who revealed the information </w:t>
      </w:r>
      <w:r w:rsidR="00B3217C" w:rsidRPr="00BE10AE">
        <w:rPr>
          <w:rFonts w:ascii="Garamond" w:hAnsi="Garamond"/>
          <w:sz w:val="26"/>
          <w:szCs w:val="26"/>
        </w:rPr>
        <w:t>as well as</w:t>
      </w:r>
      <w:r w:rsidR="007C48D7" w:rsidRPr="00BE10AE">
        <w:rPr>
          <w:rFonts w:ascii="Garamond" w:hAnsi="Garamond"/>
          <w:sz w:val="26"/>
          <w:szCs w:val="26"/>
        </w:rPr>
        <w:t xml:space="preserve"> the </w:t>
      </w:r>
      <w:r w:rsidR="00886DAA" w:rsidRPr="00BE10AE">
        <w:rPr>
          <w:rFonts w:ascii="Garamond" w:hAnsi="Garamond"/>
          <w:sz w:val="26"/>
          <w:szCs w:val="26"/>
        </w:rPr>
        <w:t xml:space="preserve">potential holdout. And then the rest of the jury convicted. </w:t>
      </w:r>
    </w:p>
    <w:p w14:paraId="39EF972F" w14:textId="7397695E" w:rsidR="00131628" w:rsidRPr="00BE10AE" w:rsidRDefault="008A2326" w:rsidP="00C85177">
      <w:pPr>
        <w:spacing w:line="360" w:lineRule="auto"/>
        <w:ind w:firstLine="360"/>
        <w:contextualSpacing/>
      </w:pPr>
      <w:r w:rsidRPr="00BE10AE">
        <w:rPr>
          <w:rFonts w:ascii="Garamond" w:hAnsi="Garamond"/>
          <w:sz w:val="26"/>
          <w:szCs w:val="26"/>
        </w:rPr>
        <w:t xml:space="preserve">This happened in </w:t>
      </w:r>
      <w:r w:rsidRPr="00BE10AE">
        <w:rPr>
          <w:rFonts w:ascii="Garamond" w:hAnsi="Garamond"/>
          <w:i/>
          <w:iCs/>
          <w:sz w:val="26"/>
          <w:szCs w:val="26"/>
        </w:rPr>
        <w:t>People v. Jones</w:t>
      </w:r>
      <w:r w:rsidRPr="00BE10AE">
        <w:rPr>
          <w:rFonts w:ascii="Garamond" w:hAnsi="Garamond"/>
          <w:sz w:val="26"/>
          <w:szCs w:val="26"/>
        </w:rPr>
        <w:t xml:space="preserve"> (2020) </w:t>
      </w:r>
      <w:r w:rsidR="00AF0907" w:rsidRPr="00BE10AE">
        <w:rPr>
          <w:rFonts w:ascii="Garamond" w:hAnsi="Garamond"/>
          <w:sz w:val="26"/>
          <w:szCs w:val="26"/>
        </w:rPr>
        <w:t xml:space="preserve">50 Cal.App.5th 694, </w:t>
      </w:r>
      <w:r w:rsidR="002E2F7C" w:rsidRPr="00BE10AE">
        <w:rPr>
          <w:rFonts w:ascii="Garamond" w:hAnsi="Garamond"/>
          <w:sz w:val="26"/>
          <w:szCs w:val="26"/>
        </w:rPr>
        <w:t>and o</w:t>
      </w:r>
      <w:r w:rsidR="00886DAA" w:rsidRPr="00BE10AE">
        <w:rPr>
          <w:rFonts w:ascii="Garamond" w:hAnsi="Garamond"/>
          <w:sz w:val="26"/>
          <w:szCs w:val="26"/>
        </w:rPr>
        <w:t>n appeal, the court reversed</w:t>
      </w:r>
      <w:r w:rsidR="000F35A7" w:rsidRPr="00BE10AE">
        <w:rPr>
          <w:rFonts w:ascii="Garamond" w:hAnsi="Garamond"/>
          <w:sz w:val="26"/>
          <w:szCs w:val="26"/>
        </w:rPr>
        <w:t xml:space="preserve"> based on the trial court</w:t>
      </w:r>
      <w:r w:rsidR="00E56BB9">
        <w:rPr>
          <w:rFonts w:ascii="Garamond" w:hAnsi="Garamond"/>
          <w:sz w:val="26"/>
          <w:szCs w:val="26"/>
        </w:rPr>
        <w:t xml:space="preserve">’s removal of </w:t>
      </w:r>
      <w:r w:rsidR="0066782B" w:rsidRPr="00BE10AE">
        <w:rPr>
          <w:rFonts w:ascii="Garamond" w:hAnsi="Garamond"/>
          <w:sz w:val="26"/>
          <w:szCs w:val="26"/>
        </w:rPr>
        <w:t xml:space="preserve">the </w:t>
      </w:r>
      <w:r w:rsidR="007D0A19" w:rsidRPr="00BE10AE">
        <w:rPr>
          <w:rFonts w:ascii="Garamond" w:hAnsi="Garamond"/>
          <w:sz w:val="26"/>
          <w:szCs w:val="26"/>
        </w:rPr>
        <w:t xml:space="preserve">potential holdout </w:t>
      </w:r>
      <w:r w:rsidR="0066782B" w:rsidRPr="00BE10AE">
        <w:rPr>
          <w:rFonts w:ascii="Garamond" w:hAnsi="Garamond"/>
          <w:sz w:val="26"/>
          <w:szCs w:val="26"/>
        </w:rPr>
        <w:t xml:space="preserve">juror without sufficient reason. </w:t>
      </w:r>
      <w:r w:rsidR="006646DE" w:rsidRPr="00BE10AE">
        <w:rPr>
          <w:rFonts w:ascii="Garamond" w:hAnsi="Garamond"/>
          <w:sz w:val="26"/>
          <w:szCs w:val="26"/>
        </w:rPr>
        <w:t>(</w:t>
      </w:r>
      <w:r w:rsidR="006646DE" w:rsidRPr="00BE10AE">
        <w:rPr>
          <w:rFonts w:ascii="Garamond" w:hAnsi="Garamond"/>
          <w:i/>
          <w:iCs/>
          <w:sz w:val="26"/>
          <w:szCs w:val="26"/>
        </w:rPr>
        <w:t>Id</w:t>
      </w:r>
      <w:r w:rsidR="006646DE" w:rsidRPr="00BE10AE">
        <w:rPr>
          <w:rFonts w:ascii="Garamond" w:hAnsi="Garamond"/>
          <w:sz w:val="26"/>
          <w:szCs w:val="26"/>
        </w:rPr>
        <w:t xml:space="preserve">. at p. 696.) </w:t>
      </w:r>
      <w:r w:rsidR="00552A0E" w:rsidRPr="00BE10AE">
        <w:rPr>
          <w:rFonts w:ascii="Garamond" w:hAnsi="Garamond"/>
          <w:sz w:val="26"/>
          <w:szCs w:val="26"/>
        </w:rPr>
        <w:t xml:space="preserve">A trial court may dismiss a juror if the court finds the juror is </w:t>
      </w:r>
      <w:r w:rsidR="00345E47" w:rsidRPr="00BE10AE">
        <w:rPr>
          <w:rFonts w:ascii="Garamond" w:hAnsi="Garamond"/>
          <w:sz w:val="26"/>
          <w:szCs w:val="26"/>
        </w:rPr>
        <w:t>“</w:t>
      </w:r>
      <w:r w:rsidR="00552A0E" w:rsidRPr="00BE10AE">
        <w:rPr>
          <w:rFonts w:ascii="Garamond" w:hAnsi="Garamond"/>
          <w:sz w:val="26"/>
          <w:szCs w:val="26"/>
        </w:rPr>
        <w:t>unable to perform his or her duty.</w:t>
      </w:r>
      <w:r w:rsidR="00345E47" w:rsidRPr="00BE10AE">
        <w:rPr>
          <w:rFonts w:ascii="Garamond" w:hAnsi="Garamond"/>
          <w:sz w:val="26"/>
          <w:szCs w:val="26"/>
        </w:rPr>
        <w:t>”</w:t>
      </w:r>
      <w:r w:rsidR="00552A0E" w:rsidRPr="00BE10AE">
        <w:rPr>
          <w:rFonts w:ascii="Garamond" w:hAnsi="Garamond"/>
          <w:sz w:val="26"/>
          <w:szCs w:val="26"/>
        </w:rPr>
        <w:t xml:space="preserve"> (Pen. Code § 1089; </w:t>
      </w:r>
      <w:r w:rsidR="00552A0E" w:rsidRPr="00BE10AE">
        <w:rPr>
          <w:rFonts w:ascii="Garamond" w:hAnsi="Garamond"/>
          <w:i/>
          <w:iCs/>
          <w:sz w:val="26"/>
          <w:szCs w:val="26"/>
        </w:rPr>
        <w:t>People v. Armstrong</w:t>
      </w:r>
      <w:r w:rsidR="00552A0E" w:rsidRPr="00BE10AE">
        <w:rPr>
          <w:rFonts w:ascii="Garamond" w:hAnsi="Garamond"/>
          <w:sz w:val="26"/>
          <w:szCs w:val="26"/>
        </w:rPr>
        <w:t xml:space="preserve"> (2016) 1 Cal.5th 432, 450.) Dismissal may be appropriate, for example, when a juror is emotionally unable to continue or expresses a fixed conclusion at the beginning of deliberations and refuses to engage with other jurors. (See </w:t>
      </w:r>
      <w:r w:rsidR="00552A0E" w:rsidRPr="00BE10AE">
        <w:rPr>
          <w:rFonts w:ascii="Garamond" w:hAnsi="Garamond"/>
          <w:i/>
          <w:iCs/>
          <w:sz w:val="26"/>
          <w:szCs w:val="26"/>
        </w:rPr>
        <w:t>People v. Cleveland</w:t>
      </w:r>
      <w:r w:rsidR="00552A0E" w:rsidRPr="00BE10AE">
        <w:rPr>
          <w:rFonts w:ascii="Garamond" w:hAnsi="Garamond"/>
          <w:sz w:val="26"/>
          <w:szCs w:val="26"/>
        </w:rPr>
        <w:t xml:space="preserve"> (2001) 25 Cal.4th 466, 474, 485.</w:t>
      </w:r>
      <w:r w:rsidR="00C85177" w:rsidRPr="00BE10AE">
        <w:rPr>
          <w:rFonts w:ascii="Garamond" w:hAnsi="Garamond"/>
          <w:sz w:val="26"/>
          <w:szCs w:val="26"/>
        </w:rPr>
        <w:t xml:space="preserve">) But </w:t>
      </w:r>
      <w:r w:rsidR="00345E47" w:rsidRPr="00BE10AE">
        <w:rPr>
          <w:rFonts w:ascii="Garamond" w:hAnsi="Garamond"/>
          <w:sz w:val="26"/>
          <w:szCs w:val="26"/>
        </w:rPr>
        <w:t>“</w:t>
      </w:r>
      <w:r w:rsidR="00C85177" w:rsidRPr="00BE10AE">
        <w:rPr>
          <w:rFonts w:ascii="Garamond" w:hAnsi="Garamond"/>
          <w:sz w:val="26"/>
          <w:szCs w:val="26"/>
        </w:rPr>
        <w:t>[g]</w:t>
      </w:r>
      <w:r w:rsidR="00551EA2" w:rsidRPr="00BE10AE">
        <w:rPr>
          <w:rFonts w:ascii="Garamond" w:hAnsi="Garamond"/>
          <w:sz w:val="26"/>
          <w:szCs w:val="26"/>
        </w:rPr>
        <w:t>reat caution is required when deciding to excuse a sitting juror.</w:t>
      </w:r>
      <w:r w:rsidR="00345E47" w:rsidRPr="00BE10AE">
        <w:rPr>
          <w:rFonts w:ascii="Garamond" w:hAnsi="Garamond"/>
          <w:sz w:val="26"/>
          <w:szCs w:val="26"/>
        </w:rPr>
        <w:t>”</w:t>
      </w:r>
      <w:r w:rsidR="00551EA2" w:rsidRPr="00BE10AE">
        <w:rPr>
          <w:rFonts w:ascii="Garamond" w:hAnsi="Garamond"/>
          <w:sz w:val="26"/>
          <w:szCs w:val="26"/>
        </w:rPr>
        <w:t xml:space="preserve"> (</w:t>
      </w:r>
      <w:r w:rsidR="00551EA2" w:rsidRPr="00BE10AE">
        <w:rPr>
          <w:rFonts w:ascii="Garamond" w:hAnsi="Garamond"/>
          <w:i/>
          <w:iCs/>
          <w:sz w:val="26"/>
          <w:szCs w:val="26"/>
        </w:rPr>
        <w:t>People v. Allen and Johnson</w:t>
      </w:r>
      <w:r w:rsidR="00551EA2" w:rsidRPr="00BE10AE">
        <w:rPr>
          <w:rFonts w:ascii="Garamond" w:hAnsi="Garamond"/>
          <w:sz w:val="26"/>
          <w:szCs w:val="26"/>
        </w:rPr>
        <w:t xml:space="preserve"> (2011) 53 Cal.4th 60, 71.) If a juror</w:t>
      </w:r>
      <w:r w:rsidR="00345E47" w:rsidRPr="00BE10AE">
        <w:rPr>
          <w:rFonts w:ascii="Garamond" w:hAnsi="Garamond"/>
          <w:sz w:val="26"/>
          <w:szCs w:val="26"/>
        </w:rPr>
        <w:t>’</w:t>
      </w:r>
      <w:r w:rsidR="00551EA2" w:rsidRPr="00BE10AE">
        <w:rPr>
          <w:rFonts w:ascii="Garamond" w:hAnsi="Garamond"/>
          <w:sz w:val="26"/>
          <w:szCs w:val="26"/>
        </w:rPr>
        <w:t>s willingness or ability to continue deliberating is unclear, the court must inquire further before dismissing the juror. (</w:t>
      </w:r>
      <w:r w:rsidR="00551EA2" w:rsidRPr="00BE10AE">
        <w:rPr>
          <w:rFonts w:ascii="Garamond" w:hAnsi="Garamond"/>
          <w:i/>
          <w:iCs/>
          <w:sz w:val="26"/>
          <w:szCs w:val="26"/>
        </w:rPr>
        <w:t>Shanks v. Department of Transportation</w:t>
      </w:r>
      <w:r w:rsidR="00551EA2" w:rsidRPr="00BE10AE">
        <w:rPr>
          <w:rFonts w:ascii="Garamond" w:hAnsi="Garamond"/>
          <w:sz w:val="26"/>
          <w:szCs w:val="26"/>
        </w:rPr>
        <w:t xml:space="preserve"> (2017) 9 Cal.App.5th 543, 551-557.) The inquiry must be sufficient to determine the facts that demonstrate a juror</w:t>
      </w:r>
      <w:r w:rsidR="00345E47" w:rsidRPr="00BE10AE">
        <w:rPr>
          <w:rFonts w:ascii="Garamond" w:hAnsi="Garamond"/>
          <w:sz w:val="26"/>
          <w:szCs w:val="26"/>
        </w:rPr>
        <w:t>’</w:t>
      </w:r>
      <w:r w:rsidR="00551EA2" w:rsidRPr="00BE10AE">
        <w:rPr>
          <w:rFonts w:ascii="Garamond" w:hAnsi="Garamond"/>
          <w:sz w:val="26"/>
          <w:szCs w:val="26"/>
        </w:rPr>
        <w:t>s ability or inability to deliberate (</w:t>
      </w:r>
      <w:r w:rsidR="00551EA2" w:rsidRPr="00BE10AE">
        <w:rPr>
          <w:rFonts w:ascii="Garamond" w:hAnsi="Garamond"/>
          <w:i/>
          <w:iCs/>
          <w:sz w:val="26"/>
          <w:szCs w:val="26"/>
        </w:rPr>
        <w:t>People v. Burgener</w:t>
      </w:r>
      <w:r w:rsidR="00551EA2" w:rsidRPr="00BE10AE">
        <w:rPr>
          <w:rFonts w:ascii="Garamond" w:hAnsi="Garamond"/>
          <w:sz w:val="26"/>
          <w:szCs w:val="26"/>
        </w:rPr>
        <w:t xml:space="preserve"> (1986) 41 Cal.3d 505, 519, overruled on another ground in </w:t>
      </w:r>
      <w:r w:rsidR="00551EA2" w:rsidRPr="00BE10AE">
        <w:rPr>
          <w:rFonts w:ascii="Garamond" w:hAnsi="Garamond"/>
          <w:i/>
          <w:iCs/>
          <w:sz w:val="26"/>
          <w:szCs w:val="26"/>
        </w:rPr>
        <w:t>People v. Reyes</w:t>
      </w:r>
      <w:r w:rsidR="00551EA2" w:rsidRPr="00BE10AE">
        <w:rPr>
          <w:rFonts w:ascii="Garamond" w:hAnsi="Garamond"/>
          <w:sz w:val="26"/>
          <w:szCs w:val="26"/>
        </w:rPr>
        <w:t xml:space="preserve"> (1998) 19 Cal.4th 743, 753) and may not assume the worst about a juror without giving her an opportunity to explain herself. (</w:t>
      </w:r>
      <w:r w:rsidR="00551EA2" w:rsidRPr="00BE10AE">
        <w:rPr>
          <w:rFonts w:ascii="Garamond" w:hAnsi="Garamond"/>
          <w:i/>
          <w:iCs/>
          <w:sz w:val="26"/>
          <w:szCs w:val="26"/>
        </w:rPr>
        <w:t>People v. Compton</w:t>
      </w:r>
      <w:r w:rsidR="00551EA2" w:rsidRPr="00BE10AE">
        <w:rPr>
          <w:rFonts w:ascii="Garamond" w:hAnsi="Garamond"/>
          <w:sz w:val="26"/>
          <w:szCs w:val="26"/>
        </w:rPr>
        <w:t xml:space="preserve"> (1971) 6 Cal.3d 55, 60; </w:t>
      </w:r>
      <w:r w:rsidR="00551EA2" w:rsidRPr="00BE10AE">
        <w:rPr>
          <w:rFonts w:ascii="Garamond" w:hAnsi="Garamond"/>
          <w:i/>
          <w:iCs/>
          <w:sz w:val="26"/>
          <w:szCs w:val="26"/>
        </w:rPr>
        <w:t>Shanks</w:t>
      </w:r>
      <w:r w:rsidR="00551EA2" w:rsidRPr="00BE10AE">
        <w:rPr>
          <w:rFonts w:ascii="Garamond" w:hAnsi="Garamond"/>
          <w:sz w:val="26"/>
          <w:szCs w:val="26"/>
        </w:rPr>
        <w:t xml:space="preserve">, </w:t>
      </w:r>
      <w:r w:rsidR="00551EA2" w:rsidRPr="00BE10AE">
        <w:rPr>
          <w:rFonts w:ascii="Garamond" w:hAnsi="Garamond"/>
          <w:i/>
          <w:iCs/>
          <w:sz w:val="26"/>
          <w:szCs w:val="26"/>
        </w:rPr>
        <w:t>supra</w:t>
      </w:r>
      <w:r w:rsidR="00551EA2" w:rsidRPr="00BE10AE">
        <w:rPr>
          <w:rFonts w:ascii="Garamond" w:hAnsi="Garamond"/>
          <w:sz w:val="26"/>
          <w:szCs w:val="26"/>
        </w:rPr>
        <w:t>, 9 Cal.App.5th at p. 556.)</w:t>
      </w:r>
    </w:p>
    <w:p w14:paraId="00A3EBFA" w14:textId="3887C816" w:rsidR="00886DAA" w:rsidRPr="00BE10AE" w:rsidRDefault="00551EA2" w:rsidP="00131628">
      <w:pPr>
        <w:spacing w:line="360" w:lineRule="auto"/>
        <w:ind w:firstLine="360"/>
        <w:contextualSpacing/>
        <w:rPr>
          <w:rFonts w:ascii="Garamond" w:hAnsi="Garamond"/>
          <w:sz w:val="26"/>
          <w:szCs w:val="26"/>
        </w:rPr>
      </w:pPr>
      <w:r w:rsidRPr="00BE10AE">
        <w:rPr>
          <w:rFonts w:ascii="Garamond" w:hAnsi="Garamond"/>
          <w:sz w:val="26"/>
          <w:szCs w:val="26"/>
        </w:rPr>
        <w:t xml:space="preserve">When reviewing </w:t>
      </w:r>
      <w:r w:rsidR="006C6B8D" w:rsidRPr="00BE10AE">
        <w:rPr>
          <w:rFonts w:ascii="Garamond" w:hAnsi="Garamond"/>
          <w:sz w:val="26"/>
          <w:szCs w:val="26"/>
        </w:rPr>
        <w:t xml:space="preserve">the </w:t>
      </w:r>
      <w:r w:rsidRPr="00BE10AE">
        <w:rPr>
          <w:rFonts w:ascii="Garamond" w:hAnsi="Garamond"/>
          <w:sz w:val="26"/>
          <w:szCs w:val="26"/>
        </w:rPr>
        <w:t>dismissal</w:t>
      </w:r>
      <w:r w:rsidR="006C6B8D" w:rsidRPr="00BE10AE">
        <w:rPr>
          <w:rFonts w:ascii="Garamond" w:hAnsi="Garamond"/>
          <w:sz w:val="26"/>
          <w:szCs w:val="26"/>
        </w:rPr>
        <w:t xml:space="preserve"> of a juror</w:t>
      </w:r>
      <w:r w:rsidRPr="00BE10AE">
        <w:rPr>
          <w:rFonts w:ascii="Garamond" w:hAnsi="Garamond"/>
          <w:sz w:val="26"/>
          <w:szCs w:val="26"/>
        </w:rPr>
        <w:t xml:space="preserve">, </w:t>
      </w:r>
      <w:r w:rsidR="006C6B8D" w:rsidRPr="00BE10AE">
        <w:rPr>
          <w:rFonts w:ascii="Garamond" w:hAnsi="Garamond"/>
          <w:sz w:val="26"/>
          <w:szCs w:val="26"/>
        </w:rPr>
        <w:t>the</w:t>
      </w:r>
      <w:r w:rsidRPr="00BE10AE">
        <w:rPr>
          <w:rFonts w:ascii="Garamond" w:hAnsi="Garamond"/>
          <w:sz w:val="26"/>
          <w:szCs w:val="26"/>
        </w:rPr>
        <w:t xml:space="preserve"> Supreme Court has adopted a</w:t>
      </w:r>
      <w:r w:rsidR="00131628" w:rsidRPr="00BE10AE">
        <w:rPr>
          <w:rFonts w:ascii="Garamond" w:hAnsi="Garamond"/>
          <w:sz w:val="26"/>
          <w:szCs w:val="26"/>
        </w:rPr>
        <w:t xml:space="preserve"> </w:t>
      </w:r>
      <w:r w:rsidRPr="00BE10AE">
        <w:rPr>
          <w:rFonts w:ascii="Garamond" w:hAnsi="Garamond"/>
          <w:sz w:val="26"/>
          <w:szCs w:val="26"/>
        </w:rPr>
        <w:t>heightened standard of review that protects the defendant</w:t>
      </w:r>
      <w:r w:rsidR="00345E47" w:rsidRPr="00BE10AE">
        <w:rPr>
          <w:rFonts w:ascii="Garamond" w:hAnsi="Garamond"/>
          <w:sz w:val="26"/>
          <w:szCs w:val="26"/>
        </w:rPr>
        <w:t>’</w:t>
      </w:r>
      <w:r w:rsidRPr="00BE10AE">
        <w:rPr>
          <w:rFonts w:ascii="Garamond" w:hAnsi="Garamond"/>
          <w:sz w:val="26"/>
          <w:szCs w:val="26"/>
        </w:rPr>
        <w:t>s fundamental</w:t>
      </w:r>
      <w:r w:rsidR="00131628" w:rsidRPr="00BE10AE">
        <w:rPr>
          <w:rFonts w:ascii="Garamond" w:hAnsi="Garamond"/>
          <w:sz w:val="26"/>
          <w:szCs w:val="26"/>
        </w:rPr>
        <w:t xml:space="preserve"> </w:t>
      </w:r>
      <w:r w:rsidRPr="00BE10AE">
        <w:rPr>
          <w:rFonts w:ascii="Garamond" w:hAnsi="Garamond"/>
          <w:sz w:val="26"/>
          <w:szCs w:val="26"/>
        </w:rPr>
        <w:t>rights to due process and a fair trial. (</w:t>
      </w:r>
      <w:r w:rsidRPr="00BE10AE">
        <w:rPr>
          <w:rFonts w:ascii="Garamond" w:hAnsi="Garamond"/>
          <w:i/>
          <w:iCs/>
          <w:sz w:val="26"/>
          <w:szCs w:val="26"/>
        </w:rPr>
        <w:t>Armstrong</w:t>
      </w:r>
      <w:r w:rsidRPr="00BE10AE">
        <w:rPr>
          <w:rFonts w:ascii="Garamond" w:hAnsi="Garamond"/>
          <w:sz w:val="26"/>
          <w:szCs w:val="26"/>
        </w:rPr>
        <w:t xml:space="preserve">, </w:t>
      </w:r>
      <w:r w:rsidRPr="00BE10AE">
        <w:rPr>
          <w:rFonts w:ascii="Garamond" w:hAnsi="Garamond"/>
          <w:i/>
          <w:iCs/>
          <w:sz w:val="26"/>
          <w:szCs w:val="26"/>
        </w:rPr>
        <w:t>supra</w:t>
      </w:r>
      <w:r w:rsidRPr="00BE10AE">
        <w:rPr>
          <w:rFonts w:ascii="Garamond" w:hAnsi="Garamond"/>
          <w:sz w:val="26"/>
          <w:szCs w:val="26"/>
        </w:rPr>
        <w:t>, 1 Cal.5th at p. 450;</w:t>
      </w:r>
      <w:r w:rsidR="00131628" w:rsidRPr="00BE10AE">
        <w:rPr>
          <w:rFonts w:ascii="Garamond" w:hAnsi="Garamond"/>
          <w:sz w:val="26"/>
          <w:szCs w:val="26"/>
        </w:rPr>
        <w:t xml:space="preserve"> </w:t>
      </w:r>
      <w:r w:rsidRPr="00BE10AE">
        <w:rPr>
          <w:rFonts w:ascii="Garamond" w:hAnsi="Garamond"/>
          <w:sz w:val="26"/>
          <w:szCs w:val="26"/>
        </w:rPr>
        <w:t xml:space="preserve">Cal. Const., art. I, § 16 [trial by jury is an </w:t>
      </w:r>
      <w:r w:rsidR="00345E47" w:rsidRPr="00BE10AE">
        <w:rPr>
          <w:rFonts w:ascii="Garamond" w:hAnsi="Garamond"/>
          <w:sz w:val="26"/>
          <w:szCs w:val="26"/>
        </w:rPr>
        <w:t>“</w:t>
      </w:r>
      <w:r w:rsidRPr="00BE10AE">
        <w:rPr>
          <w:rFonts w:ascii="Garamond" w:hAnsi="Garamond"/>
          <w:sz w:val="26"/>
          <w:szCs w:val="26"/>
        </w:rPr>
        <w:t>inviolate right</w:t>
      </w:r>
      <w:r w:rsidR="00345E47" w:rsidRPr="00BE10AE">
        <w:rPr>
          <w:rFonts w:ascii="Garamond" w:hAnsi="Garamond"/>
          <w:sz w:val="26"/>
          <w:szCs w:val="26"/>
        </w:rPr>
        <w:t>”</w:t>
      </w:r>
      <w:r w:rsidRPr="00BE10AE">
        <w:rPr>
          <w:rFonts w:ascii="Garamond" w:hAnsi="Garamond"/>
          <w:sz w:val="26"/>
          <w:szCs w:val="26"/>
        </w:rPr>
        <w:t>].) The juror</w:t>
      </w:r>
      <w:r w:rsidR="00345E47" w:rsidRPr="00BE10AE">
        <w:rPr>
          <w:rFonts w:ascii="Garamond" w:hAnsi="Garamond"/>
          <w:sz w:val="26"/>
          <w:szCs w:val="26"/>
        </w:rPr>
        <w:t>’</w:t>
      </w:r>
      <w:r w:rsidRPr="00BE10AE">
        <w:rPr>
          <w:rFonts w:ascii="Garamond" w:hAnsi="Garamond"/>
          <w:sz w:val="26"/>
          <w:szCs w:val="26"/>
        </w:rPr>
        <w:t>s</w:t>
      </w:r>
      <w:r w:rsidR="00131628" w:rsidRPr="00BE10AE">
        <w:rPr>
          <w:rFonts w:ascii="Garamond" w:hAnsi="Garamond"/>
          <w:sz w:val="26"/>
          <w:szCs w:val="26"/>
        </w:rPr>
        <w:t xml:space="preserve"> </w:t>
      </w:r>
      <w:r w:rsidRPr="00BE10AE">
        <w:rPr>
          <w:rFonts w:ascii="Garamond" w:hAnsi="Garamond"/>
          <w:sz w:val="26"/>
          <w:szCs w:val="26"/>
        </w:rPr>
        <w:t>inability to perform his or her duty must appear in the record as a</w:t>
      </w:r>
      <w:r w:rsidR="00131628" w:rsidRPr="00BE10AE">
        <w:rPr>
          <w:rFonts w:ascii="Garamond" w:hAnsi="Garamond"/>
          <w:sz w:val="26"/>
          <w:szCs w:val="26"/>
        </w:rPr>
        <w:t xml:space="preserve"> </w:t>
      </w:r>
      <w:r w:rsidR="00345E47" w:rsidRPr="00BE10AE">
        <w:rPr>
          <w:rFonts w:ascii="Garamond" w:hAnsi="Garamond"/>
          <w:sz w:val="26"/>
          <w:szCs w:val="26"/>
        </w:rPr>
        <w:t>“</w:t>
      </w:r>
      <w:r w:rsidRPr="00BE10AE">
        <w:rPr>
          <w:rFonts w:ascii="Garamond" w:hAnsi="Garamond"/>
          <w:sz w:val="26"/>
          <w:szCs w:val="26"/>
        </w:rPr>
        <w:t>demonstrable reality.</w:t>
      </w:r>
      <w:r w:rsidR="00345E47" w:rsidRPr="00BE10AE">
        <w:rPr>
          <w:rFonts w:ascii="Garamond" w:hAnsi="Garamond"/>
          <w:sz w:val="26"/>
          <w:szCs w:val="26"/>
        </w:rPr>
        <w:t>”</w:t>
      </w:r>
      <w:r w:rsidRPr="00BE10AE">
        <w:rPr>
          <w:rFonts w:ascii="Garamond" w:hAnsi="Garamond"/>
          <w:sz w:val="26"/>
          <w:szCs w:val="26"/>
        </w:rPr>
        <w:t xml:space="preserve"> (</w:t>
      </w:r>
      <w:r w:rsidR="00767E8F">
        <w:rPr>
          <w:rFonts w:ascii="Garamond" w:hAnsi="Garamond"/>
          <w:i/>
          <w:iCs/>
          <w:sz w:val="26"/>
          <w:szCs w:val="26"/>
        </w:rPr>
        <w:t>Id.</w:t>
      </w:r>
      <w:r w:rsidRPr="00BE10AE">
        <w:rPr>
          <w:rFonts w:ascii="Garamond" w:hAnsi="Garamond"/>
          <w:sz w:val="26"/>
          <w:szCs w:val="26"/>
        </w:rPr>
        <w:t xml:space="preserve"> at p. 450.) </w:t>
      </w:r>
      <w:r w:rsidR="0045748A" w:rsidRPr="00BE10AE">
        <w:rPr>
          <w:rFonts w:ascii="Garamond" w:hAnsi="Garamond"/>
          <w:sz w:val="26"/>
          <w:szCs w:val="26"/>
        </w:rPr>
        <w:t>The</w:t>
      </w:r>
      <w:r w:rsidR="00131628" w:rsidRPr="00BE10AE">
        <w:rPr>
          <w:rFonts w:ascii="Garamond" w:hAnsi="Garamond"/>
          <w:sz w:val="26"/>
          <w:szCs w:val="26"/>
        </w:rPr>
        <w:t xml:space="preserve"> </w:t>
      </w:r>
      <w:r w:rsidRPr="00BE10AE">
        <w:rPr>
          <w:rFonts w:ascii="Garamond" w:hAnsi="Garamond"/>
          <w:sz w:val="26"/>
          <w:szCs w:val="26"/>
        </w:rPr>
        <w:t xml:space="preserve">Supreme Court has emphasized that this test is </w:t>
      </w:r>
      <w:r w:rsidR="00345E47" w:rsidRPr="00BE10AE">
        <w:rPr>
          <w:rFonts w:ascii="Garamond" w:hAnsi="Garamond"/>
          <w:sz w:val="26"/>
          <w:szCs w:val="26"/>
        </w:rPr>
        <w:t>“</w:t>
      </w:r>
      <w:r w:rsidRPr="00BE10AE">
        <w:rPr>
          <w:rFonts w:ascii="Garamond" w:hAnsi="Garamond"/>
          <w:sz w:val="26"/>
          <w:szCs w:val="26"/>
        </w:rPr>
        <w:t>more comprehensive and</w:t>
      </w:r>
      <w:r w:rsidR="00131628" w:rsidRPr="00BE10AE">
        <w:rPr>
          <w:rFonts w:ascii="Garamond" w:hAnsi="Garamond"/>
          <w:sz w:val="26"/>
          <w:szCs w:val="26"/>
        </w:rPr>
        <w:t xml:space="preserve"> </w:t>
      </w:r>
      <w:r w:rsidRPr="00BE10AE">
        <w:rPr>
          <w:rFonts w:ascii="Garamond" w:hAnsi="Garamond"/>
          <w:sz w:val="26"/>
          <w:szCs w:val="26"/>
        </w:rPr>
        <w:t>less deferential</w:t>
      </w:r>
      <w:r w:rsidR="00345E47" w:rsidRPr="00BE10AE">
        <w:rPr>
          <w:rFonts w:ascii="Garamond" w:hAnsi="Garamond"/>
          <w:sz w:val="26"/>
          <w:szCs w:val="26"/>
        </w:rPr>
        <w:t>”</w:t>
      </w:r>
      <w:r w:rsidRPr="00BE10AE">
        <w:rPr>
          <w:rFonts w:ascii="Garamond" w:hAnsi="Garamond"/>
          <w:sz w:val="26"/>
          <w:szCs w:val="26"/>
        </w:rPr>
        <w:t xml:space="preserve"> than the substantial evidence test. (</w:t>
      </w:r>
      <w:r w:rsidRPr="00BE10AE">
        <w:rPr>
          <w:rFonts w:ascii="Garamond" w:hAnsi="Garamond"/>
          <w:i/>
          <w:iCs/>
          <w:sz w:val="26"/>
          <w:szCs w:val="26"/>
        </w:rPr>
        <w:t>Id</w:t>
      </w:r>
      <w:r w:rsidRPr="00BE10AE">
        <w:rPr>
          <w:rFonts w:ascii="Garamond" w:hAnsi="Garamond"/>
          <w:sz w:val="26"/>
          <w:szCs w:val="26"/>
        </w:rPr>
        <w:t>. at p. 451.) Under</w:t>
      </w:r>
      <w:r w:rsidR="00131628" w:rsidRPr="00BE10AE">
        <w:rPr>
          <w:rFonts w:ascii="Garamond" w:hAnsi="Garamond"/>
          <w:sz w:val="26"/>
          <w:szCs w:val="26"/>
        </w:rPr>
        <w:t xml:space="preserve"> </w:t>
      </w:r>
      <w:r w:rsidRPr="00BE10AE">
        <w:rPr>
          <w:rFonts w:ascii="Garamond" w:hAnsi="Garamond"/>
          <w:sz w:val="26"/>
          <w:szCs w:val="26"/>
        </w:rPr>
        <w:t>both tests, the appellate court reviews the entire record and does not reweigh</w:t>
      </w:r>
      <w:r w:rsidR="00131628" w:rsidRPr="00BE10AE">
        <w:rPr>
          <w:rFonts w:ascii="Garamond" w:hAnsi="Garamond"/>
          <w:sz w:val="26"/>
          <w:szCs w:val="26"/>
        </w:rPr>
        <w:t xml:space="preserve"> </w:t>
      </w:r>
      <w:r w:rsidRPr="00BE10AE">
        <w:rPr>
          <w:rFonts w:ascii="Garamond" w:hAnsi="Garamond"/>
          <w:sz w:val="26"/>
          <w:szCs w:val="26"/>
        </w:rPr>
        <w:t>the evidence. (</w:t>
      </w:r>
      <w:r w:rsidRPr="00BE10AE">
        <w:rPr>
          <w:rFonts w:ascii="Garamond" w:hAnsi="Garamond"/>
          <w:i/>
          <w:iCs/>
          <w:sz w:val="26"/>
          <w:szCs w:val="26"/>
        </w:rPr>
        <w:t>Id</w:t>
      </w:r>
      <w:r w:rsidRPr="00BE10AE">
        <w:rPr>
          <w:rFonts w:ascii="Garamond" w:hAnsi="Garamond"/>
          <w:sz w:val="26"/>
          <w:szCs w:val="26"/>
        </w:rPr>
        <w:t>. at pp. 450-451.) However, under the substantial evidence</w:t>
      </w:r>
      <w:r w:rsidR="00131628" w:rsidRPr="00BE10AE">
        <w:rPr>
          <w:rFonts w:ascii="Garamond" w:hAnsi="Garamond"/>
          <w:sz w:val="26"/>
          <w:szCs w:val="26"/>
        </w:rPr>
        <w:t xml:space="preserve"> </w:t>
      </w:r>
      <w:r w:rsidRPr="00BE10AE">
        <w:rPr>
          <w:rFonts w:ascii="Garamond" w:hAnsi="Garamond"/>
          <w:sz w:val="26"/>
          <w:szCs w:val="26"/>
        </w:rPr>
        <w:t>test, the court reviews the record in the light most favorable to the judgment</w:t>
      </w:r>
      <w:r w:rsidR="00131628" w:rsidRPr="00BE10AE">
        <w:rPr>
          <w:rFonts w:ascii="Garamond" w:hAnsi="Garamond"/>
          <w:sz w:val="26"/>
          <w:szCs w:val="26"/>
        </w:rPr>
        <w:t xml:space="preserve"> </w:t>
      </w:r>
      <w:r w:rsidRPr="00BE10AE">
        <w:rPr>
          <w:rFonts w:ascii="Garamond" w:hAnsi="Garamond"/>
          <w:sz w:val="26"/>
          <w:szCs w:val="26"/>
        </w:rPr>
        <w:t>and upholds it if there is credible evidence that could reasonably support the</w:t>
      </w:r>
      <w:r w:rsidR="00131628" w:rsidRPr="00BE10AE">
        <w:rPr>
          <w:rFonts w:ascii="Garamond" w:hAnsi="Garamond"/>
          <w:sz w:val="26"/>
          <w:szCs w:val="26"/>
        </w:rPr>
        <w:t xml:space="preserve"> </w:t>
      </w:r>
      <w:r w:rsidRPr="00BE10AE">
        <w:rPr>
          <w:rFonts w:ascii="Garamond" w:hAnsi="Garamond"/>
          <w:sz w:val="26"/>
          <w:szCs w:val="26"/>
        </w:rPr>
        <w:t>trial court</w:t>
      </w:r>
      <w:r w:rsidR="00345E47" w:rsidRPr="00BE10AE">
        <w:rPr>
          <w:rFonts w:ascii="Garamond" w:hAnsi="Garamond"/>
          <w:sz w:val="26"/>
          <w:szCs w:val="26"/>
        </w:rPr>
        <w:t>’</w:t>
      </w:r>
      <w:r w:rsidRPr="00BE10AE">
        <w:rPr>
          <w:rFonts w:ascii="Garamond" w:hAnsi="Garamond"/>
          <w:sz w:val="26"/>
          <w:szCs w:val="26"/>
        </w:rPr>
        <w:t>s decision to remove a juror. (</w:t>
      </w:r>
      <w:r w:rsidRPr="00BE10AE">
        <w:rPr>
          <w:rFonts w:ascii="Garamond" w:hAnsi="Garamond"/>
          <w:i/>
          <w:iCs/>
          <w:sz w:val="26"/>
          <w:szCs w:val="26"/>
        </w:rPr>
        <w:t>Id</w:t>
      </w:r>
      <w:r w:rsidRPr="00BE10AE">
        <w:rPr>
          <w:rFonts w:ascii="Garamond" w:hAnsi="Garamond"/>
          <w:sz w:val="26"/>
          <w:szCs w:val="26"/>
        </w:rPr>
        <w:t>. at p. 450.)</w:t>
      </w:r>
      <w:r w:rsidR="00131628" w:rsidRPr="00BE10AE">
        <w:rPr>
          <w:rFonts w:ascii="Garamond" w:hAnsi="Garamond"/>
          <w:sz w:val="26"/>
          <w:szCs w:val="26"/>
        </w:rPr>
        <w:t xml:space="preserve"> Under the demonstrable reality test, by contrast, </w:t>
      </w:r>
      <w:r w:rsidR="00EE1C85" w:rsidRPr="00BE10AE">
        <w:rPr>
          <w:rFonts w:ascii="Garamond" w:hAnsi="Garamond"/>
          <w:sz w:val="26"/>
          <w:szCs w:val="26"/>
        </w:rPr>
        <w:t>the reviewing court</w:t>
      </w:r>
      <w:r w:rsidR="00131628" w:rsidRPr="00BE10AE">
        <w:rPr>
          <w:rFonts w:ascii="Garamond" w:hAnsi="Garamond"/>
          <w:sz w:val="26"/>
          <w:szCs w:val="26"/>
        </w:rPr>
        <w:t xml:space="preserve"> must determine whether the trial</w:t>
      </w:r>
      <w:r w:rsidR="00DE5A41" w:rsidRPr="00BE10AE">
        <w:rPr>
          <w:rFonts w:ascii="Garamond" w:hAnsi="Garamond"/>
          <w:sz w:val="26"/>
          <w:szCs w:val="26"/>
        </w:rPr>
        <w:t xml:space="preserve"> </w:t>
      </w:r>
      <w:r w:rsidR="00131628" w:rsidRPr="00BE10AE">
        <w:rPr>
          <w:rFonts w:ascii="Garamond" w:hAnsi="Garamond"/>
          <w:sz w:val="26"/>
          <w:szCs w:val="26"/>
        </w:rPr>
        <w:t>court actually did rely on evidence that supports removing the juror. (</w:t>
      </w:r>
      <w:r w:rsidR="00131628" w:rsidRPr="00BE10AE">
        <w:rPr>
          <w:rFonts w:ascii="Garamond" w:hAnsi="Garamond"/>
          <w:i/>
          <w:iCs/>
          <w:sz w:val="26"/>
          <w:szCs w:val="26"/>
        </w:rPr>
        <w:t>Id</w:t>
      </w:r>
      <w:r w:rsidR="00131628" w:rsidRPr="00BE10AE">
        <w:rPr>
          <w:rFonts w:ascii="Garamond" w:hAnsi="Garamond"/>
          <w:sz w:val="26"/>
          <w:szCs w:val="26"/>
        </w:rPr>
        <w:t>. at</w:t>
      </w:r>
      <w:r w:rsidR="00DE5A41" w:rsidRPr="00BE10AE">
        <w:rPr>
          <w:rFonts w:ascii="Garamond" w:hAnsi="Garamond"/>
          <w:sz w:val="26"/>
          <w:szCs w:val="26"/>
        </w:rPr>
        <w:t xml:space="preserve"> </w:t>
      </w:r>
      <w:r w:rsidR="00131628" w:rsidRPr="00BE10AE">
        <w:rPr>
          <w:rFonts w:ascii="Garamond" w:hAnsi="Garamond"/>
          <w:sz w:val="26"/>
          <w:szCs w:val="26"/>
        </w:rPr>
        <w:t xml:space="preserve">p. 451.) </w:t>
      </w:r>
      <w:r w:rsidR="00D553F0" w:rsidRPr="00BE10AE">
        <w:rPr>
          <w:rFonts w:ascii="Garamond" w:hAnsi="Garamond"/>
          <w:sz w:val="26"/>
          <w:szCs w:val="26"/>
        </w:rPr>
        <w:t>The court must therefore</w:t>
      </w:r>
      <w:r w:rsidR="00131628" w:rsidRPr="00BE10AE">
        <w:rPr>
          <w:rFonts w:ascii="Garamond" w:hAnsi="Garamond"/>
          <w:sz w:val="26"/>
          <w:szCs w:val="26"/>
        </w:rPr>
        <w:t xml:space="preserve"> review the </w:t>
      </w:r>
      <w:r w:rsidR="00345E47" w:rsidRPr="00BE10AE">
        <w:rPr>
          <w:rFonts w:ascii="Garamond" w:hAnsi="Garamond"/>
          <w:sz w:val="26"/>
          <w:szCs w:val="26"/>
        </w:rPr>
        <w:t>“</w:t>
      </w:r>
      <w:r w:rsidR="00131628" w:rsidRPr="00BE10AE">
        <w:rPr>
          <w:rFonts w:ascii="Garamond" w:hAnsi="Garamond"/>
          <w:sz w:val="26"/>
          <w:szCs w:val="26"/>
        </w:rPr>
        <w:t>record of reasons</w:t>
      </w:r>
      <w:r w:rsidR="00D553F0" w:rsidRPr="00BE10AE">
        <w:rPr>
          <w:rFonts w:ascii="Garamond" w:hAnsi="Garamond"/>
          <w:sz w:val="26"/>
          <w:szCs w:val="26"/>
        </w:rPr>
        <w:t xml:space="preserve"> </w:t>
      </w:r>
      <w:r w:rsidR="00131628" w:rsidRPr="00BE10AE">
        <w:rPr>
          <w:rFonts w:ascii="Garamond" w:hAnsi="Garamond"/>
          <w:sz w:val="26"/>
          <w:szCs w:val="26"/>
        </w:rPr>
        <w:t>that the trial court provided, identify the evidence on which the court actually relied, and</w:t>
      </w:r>
      <w:r w:rsidR="00DE5A41" w:rsidRPr="00BE10AE">
        <w:rPr>
          <w:rFonts w:ascii="Garamond" w:hAnsi="Garamond"/>
          <w:sz w:val="26"/>
          <w:szCs w:val="26"/>
        </w:rPr>
        <w:t xml:space="preserve"> </w:t>
      </w:r>
      <w:r w:rsidR="00131628" w:rsidRPr="00BE10AE">
        <w:rPr>
          <w:rFonts w:ascii="Garamond" w:hAnsi="Garamond"/>
          <w:sz w:val="26"/>
          <w:szCs w:val="26"/>
        </w:rPr>
        <w:t>determine whether the evidence manifestly supports the court</w:t>
      </w:r>
      <w:r w:rsidR="00345E47" w:rsidRPr="00BE10AE">
        <w:rPr>
          <w:rFonts w:ascii="Garamond" w:hAnsi="Garamond"/>
          <w:sz w:val="26"/>
          <w:szCs w:val="26"/>
        </w:rPr>
        <w:t>’</w:t>
      </w:r>
      <w:r w:rsidR="00131628" w:rsidRPr="00BE10AE">
        <w:rPr>
          <w:rFonts w:ascii="Garamond" w:hAnsi="Garamond"/>
          <w:sz w:val="26"/>
          <w:szCs w:val="26"/>
        </w:rPr>
        <w:t>s reasons.</w:t>
      </w:r>
      <w:r w:rsidR="00345E47" w:rsidRPr="00BE10AE">
        <w:rPr>
          <w:rFonts w:ascii="Garamond" w:hAnsi="Garamond"/>
          <w:sz w:val="26"/>
          <w:szCs w:val="26"/>
        </w:rPr>
        <w:t>”</w:t>
      </w:r>
      <w:r w:rsidR="00DE5A41" w:rsidRPr="00BE10AE">
        <w:rPr>
          <w:rFonts w:ascii="Garamond" w:hAnsi="Garamond"/>
          <w:sz w:val="26"/>
          <w:szCs w:val="26"/>
        </w:rPr>
        <w:t xml:space="preserve"> </w:t>
      </w:r>
      <w:r w:rsidR="00131628" w:rsidRPr="00BE10AE">
        <w:rPr>
          <w:rFonts w:ascii="Garamond" w:hAnsi="Garamond"/>
          <w:sz w:val="26"/>
          <w:szCs w:val="26"/>
        </w:rPr>
        <w:t>(</w:t>
      </w:r>
      <w:r w:rsidR="00131628" w:rsidRPr="00BE10AE">
        <w:rPr>
          <w:rFonts w:ascii="Garamond" w:hAnsi="Garamond"/>
          <w:i/>
          <w:iCs/>
          <w:sz w:val="26"/>
          <w:szCs w:val="26"/>
        </w:rPr>
        <w:t>Ibid</w:t>
      </w:r>
      <w:r w:rsidR="00131628" w:rsidRPr="00BE10AE">
        <w:rPr>
          <w:rFonts w:ascii="Garamond" w:hAnsi="Garamond"/>
          <w:sz w:val="26"/>
          <w:szCs w:val="26"/>
        </w:rPr>
        <w:t>.)</w:t>
      </w:r>
    </w:p>
    <w:p w14:paraId="03AABD13" w14:textId="423D7C23" w:rsidR="00E63FB1" w:rsidRPr="00BE10AE" w:rsidRDefault="008C1E2C" w:rsidP="00131628">
      <w:pPr>
        <w:spacing w:line="360" w:lineRule="auto"/>
        <w:ind w:firstLine="360"/>
        <w:contextualSpacing/>
        <w:rPr>
          <w:rFonts w:ascii="Garamond" w:hAnsi="Garamond"/>
          <w:sz w:val="26"/>
          <w:szCs w:val="26"/>
        </w:rPr>
      </w:pPr>
      <w:r w:rsidRPr="00BE10AE">
        <w:rPr>
          <w:rFonts w:ascii="Garamond" w:hAnsi="Garamond"/>
          <w:sz w:val="26"/>
          <w:szCs w:val="26"/>
        </w:rPr>
        <w:t xml:space="preserve">Here, the court </w:t>
      </w:r>
      <w:r w:rsidR="00AA6FF9" w:rsidRPr="00BE10AE">
        <w:rPr>
          <w:rFonts w:ascii="Garamond" w:hAnsi="Garamond"/>
          <w:sz w:val="26"/>
          <w:szCs w:val="26"/>
        </w:rPr>
        <w:t xml:space="preserve">did not conduct a proper inquiry into whether </w:t>
      </w:r>
      <w:r w:rsidR="00EB0E6C" w:rsidRPr="00BE10AE">
        <w:rPr>
          <w:rFonts w:ascii="Garamond" w:hAnsi="Garamond"/>
          <w:sz w:val="26"/>
          <w:szCs w:val="26"/>
        </w:rPr>
        <w:t>the juror</w:t>
      </w:r>
      <w:r w:rsidR="005F22F7" w:rsidRPr="00BE10AE">
        <w:rPr>
          <w:rFonts w:ascii="Garamond" w:hAnsi="Garamond"/>
          <w:sz w:val="26"/>
          <w:szCs w:val="26"/>
        </w:rPr>
        <w:t xml:space="preserve"> could remain on the jury. </w:t>
      </w:r>
      <w:r w:rsidR="00DB19E9" w:rsidRPr="00BE10AE">
        <w:rPr>
          <w:rFonts w:ascii="Garamond" w:hAnsi="Garamond"/>
          <w:sz w:val="26"/>
          <w:szCs w:val="26"/>
        </w:rPr>
        <w:t>(</w:t>
      </w:r>
      <w:r w:rsidR="00DB19E9" w:rsidRPr="00BE10AE">
        <w:rPr>
          <w:rFonts w:ascii="Garamond" w:hAnsi="Garamond"/>
          <w:i/>
          <w:iCs/>
          <w:sz w:val="26"/>
          <w:szCs w:val="26"/>
        </w:rPr>
        <w:t>Jones</w:t>
      </w:r>
      <w:r w:rsidR="00DB19E9" w:rsidRPr="00BE10AE">
        <w:rPr>
          <w:rFonts w:ascii="Garamond" w:hAnsi="Garamond"/>
          <w:sz w:val="26"/>
          <w:szCs w:val="26"/>
        </w:rPr>
        <w:t xml:space="preserve">, </w:t>
      </w:r>
      <w:r w:rsidR="00DB19E9" w:rsidRPr="00BE10AE">
        <w:rPr>
          <w:rFonts w:ascii="Garamond" w:hAnsi="Garamond"/>
          <w:i/>
          <w:iCs/>
          <w:sz w:val="26"/>
          <w:szCs w:val="26"/>
        </w:rPr>
        <w:t>supra</w:t>
      </w:r>
      <w:r w:rsidR="00DB19E9" w:rsidRPr="00BE10AE">
        <w:rPr>
          <w:rFonts w:ascii="Garamond" w:hAnsi="Garamond"/>
          <w:sz w:val="26"/>
          <w:szCs w:val="26"/>
        </w:rPr>
        <w:t xml:space="preserve">, </w:t>
      </w:r>
      <w:r w:rsidR="00A10562" w:rsidRPr="00BE10AE">
        <w:rPr>
          <w:rFonts w:ascii="Garamond" w:hAnsi="Garamond"/>
          <w:sz w:val="26"/>
          <w:szCs w:val="26"/>
        </w:rPr>
        <w:t>50 Cal.App.5th at p</w:t>
      </w:r>
      <w:r w:rsidR="0041668B" w:rsidRPr="00BE10AE">
        <w:rPr>
          <w:rFonts w:ascii="Garamond" w:hAnsi="Garamond"/>
          <w:sz w:val="26"/>
          <w:szCs w:val="26"/>
        </w:rPr>
        <w:t xml:space="preserve">p. 703-705.) </w:t>
      </w:r>
      <w:r w:rsidR="005F22F7" w:rsidRPr="00BE10AE">
        <w:rPr>
          <w:rFonts w:ascii="Garamond" w:hAnsi="Garamond"/>
          <w:sz w:val="26"/>
          <w:szCs w:val="26"/>
        </w:rPr>
        <w:t xml:space="preserve">While she said that she was </w:t>
      </w:r>
      <w:r w:rsidR="00345E47" w:rsidRPr="00BE10AE">
        <w:rPr>
          <w:rFonts w:ascii="Garamond" w:hAnsi="Garamond"/>
          <w:sz w:val="26"/>
          <w:szCs w:val="26"/>
        </w:rPr>
        <w:t>“</w:t>
      </w:r>
      <w:r w:rsidR="005F22F7" w:rsidRPr="00BE10AE">
        <w:rPr>
          <w:rFonts w:ascii="Garamond" w:hAnsi="Garamond"/>
          <w:sz w:val="26"/>
          <w:szCs w:val="26"/>
        </w:rPr>
        <w:t>very upset</w:t>
      </w:r>
      <w:r w:rsidR="00345E47" w:rsidRPr="00BE10AE">
        <w:rPr>
          <w:rFonts w:ascii="Garamond" w:hAnsi="Garamond"/>
          <w:sz w:val="26"/>
          <w:szCs w:val="26"/>
        </w:rPr>
        <w:t>”</w:t>
      </w:r>
      <w:r w:rsidR="005F22F7" w:rsidRPr="00BE10AE">
        <w:rPr>
          <w:rFonts w:ascii="Garamond" w:hAnsi="Garamond"/>
          <w:sz w:val="26"/>
          <w:szCs w:val="26"/>
        </w:rPr>
        <w:t xml:space="preserve"> and that it would be </w:t>
      </w:r>
      <w:r w:rsidR="00345E47" w:rsidRPr="00BE10AE">
        <w:rPr>
          <w:rFonts w:ascii="Garamond" w:hAnsi="Garamond"/>
          <w:sz w:val="26"/>
          <w:szCs w:val="26"/>
        </w:rPr>
        <w:t>“</w:t>
      </w:r>
      <w:r w:rsidR="00DB19E9" w:rsidRPr="00BE10AE">
        <w:rPr>
          <w:rFonts w:ascii="Garamond" w:hAnsi="Garamond"/>
          <w:sz w:val="26"/>
          <w:szCs w:val="26"/>
        </w:rPr>
        <w:t xml:space="preserve">very </w:t>
      </w:r>
      <w:r w:rsidR="005F22F7" w:rsidRPr="00BE10AE">
        <w:rPr>
          <w:rFonts w:ascii="Garamond" w:hAnsi="Garamond"/>
          <w:sz w:val="26"/>
          <w:szCs w:val="26"/>
        </w:rPr>
        <w:t>difficult</w:t>
      </w:r>
      <w:r w:rsidR="00345E47" w:rsidRPr="00BE10AE">
        <w:rPr>
          <w:rFonts w:ascii="Garamond" w:hAnsi="Garamond"/>
          <w:sz w:val="26"/>
          <w:szCs w:val="26"/>
        </w:rPr>
        <w:t>”</w:t>
      </w:r>
      <w:r w:rsidR="005F22F7" w:rsidRPr="00BE10AE">
        <w:rPr>
          <w:rFonts w:ascii="Garamond" w:hAnsi="Garamond"/>
          <w:sz w:val="26"/>
          <w:szCs w:val="26"/>
        </w:rPr>
        <w:t xml:space="preserve"> to </w:t>
      </w:r>
      <w:r w:rsidR="006F0292" w:rsidRPr="00BE10AE">
        <w:rPr>
          <w:rFonts w:ascii="Garamond" w:hAnsi="Garamond"/>
          <w:sz w:val="26"/>
          <w:szCs w:val="26"/>
        </w:rPr>
        <w:t>continue deliberating, that wasn</w:t>
      </w:r>
      <w:r w:rsidR="00345E47" w:rsidRPr="00BE10AE">
        <w:rPr>
          <w:rFonts w:ascii="Garamond" w:hAnsi="Garamond"/>
          <w:sz w:val="26"/>
          <w:szCs w:val="26"/>
        </w:rPr>
        <w:t>’</w:t>
      </w:r>
      <w:r w:rsidR="006F0292" w:rsidRPr="00BE10AE">
        <w:rPr>
          <w:rFonts w:ascii="Garamond" w:hAnsi="Garamond"/>
          <w:sz w:val="26"/>
          <w:szCs w:val="26"/>
        </w:rPr>
        <w:t xml:space="preserve">t enough to </w:t>
      </w:r>
      <w:r w:rsidR="00A534CA" w:rsidRPr="00BE10AE">
        <w:rPr>
          <w:rFonts w:ascii="Garamond" w:hAnsi="Garamond"/>
          <w:sz w:val="26"/>
          <w:szCs w:val="26"/>
        </w:rPr>
        <w:t>remove</w:t>
      </w:r>
      <w:r w:rsidR="006F0292" w:rsidRPr="00BE10AE">
        <w:rPr>
          <w:rFonts w:ascii="Garamond" w:hAnsi="Garamond"/>
          <w:sz w:val="26"/>
          <w:szCs w:val="26"/>
        </w:rPr>
        <w:t xml:space="preserve"> her. </w:t>
      </w:r>
      <w:r w:rsidR="0041668B" w:rsidRPr="00BE10AE">
        <w:rPr>
          <w:rFonts w:ascii="Garamond" w:hAnsi="Garamond"/>
          <w:sz w:val="26"/>
          <w:szCs w:val="26"/>
        </w:rPr>
        <w:t>(</w:t>
      </w:r>
      <w:r w:rsidR="0041668B" w:rsidRPr="00BE10AE">
        <w:rPr>
          <w:rFonts w:ascii="Garamond" w:hAnsi="Garamond"/>
          <w:i/>
          <w:iCs/>
          <w:sz w:val="26"/>
          <w:szCs w:val="26"/>
        </w:rPr>
        <w:t>Ibid</w:t>
      </w:r>
      <w:r w:rsidR="0041668B" w:rsidRPr="00BE10AE">
        <w:rPr>
          <w:rFonts w:ascii="Garamond" w:hAnsi="Garamond"/>
          <w:sz w:val="26"/>
          <w:szCs w:val="26"/>
        </w:rPr>
        <w:t xml:space="preserve">.) </w:t>
      </w:r>
      <w:r w:rsidR="006F0292" w:rsidRPr="00BE10AE">
        <w:rPr>
          <w:rFonts w:ascii="Garamond" w:hAnsi="Garamond"/>
          <w:sz w:val="26"/>
          <w:szCs w:val="26"/>
        </w:rPr>
        <w:t>She didn</w:t>
      </w:r>
      <w:r w:rsidR="00345E47" w:rsidRPr="00BE10AE">
        <w:rPr>
          <w:rFonts w:ascii="Garamond" w:hAnsi="Garamond"/>
          <w:sz w:val="26"/>
          <w:szCs w:val="26"/>
        </w:rPr>
        <w:t>’</w:t>
      </w:r>
      <w:r w:rsidR="006F0292" w:rsidRPr="00BE10AE">
        <w:rPr>
          <w:rFonts w:ascii="Garamond" w:hAnsi="Garamond"/>
          <w:sz w:val="26"/>
          <w:szCs w:val="26"/>
        </w:rPr>
        <w:t>t say categorically that she couldn</w:t>
      </w:r>
      <w:r w:rsidR="00345E47" w:rsidRPr="00BE10AE">
        <w:rPr>
          <w:rFonts w:ascii="Garamond" w:hAnsi="Garamond"/>
          <w:sz w:val="26"/>
          <w:szCs w:val="26"/>
        </w:rPr>
        <w:t>’</w:t>
      </w:r>
      <w:r w:rsidR="006F0292" w:rsidRPr="00BE10AE">
        <w:rPr>
          <w:rFonts w:ascii="Garamond" w:hAnsi="Garamond"/>
          <w:sz w:val="26"/>
          <w:szCs w:val="26"/>
        </w:rPr>
        <w:t>t</w:t>
      </w:r>
      <w:r w:rsidR="00A534CA" w:rsidRPr="00BE10AE">
        <w:rPr>
          <w:rFonts w:ascii="Garamond" w:hAnsi="Garamond"/>
          <w:sz w:val="26"/>
          <w:szCs w:val="26"/>
        </w:rPr>
        <w:t xml:space="preserve"> continue to </w:t>
      </w:r>
      <w:r w:rsidR="00E63FB1" w:rsidRPr="00BE10AE">
        <w:rPr>
          <w:rFonts w:ascii="Garamond" w:hAnsi="Garamond"/>
          <w:sz w:val="26"/>
          <w:szCs w:val="26"/>
        </w:rPr>
        <w:t>deliberate</w:t>
      </w:r>
      <w:r w:rsidR="00F9720C" w:rsidRPr="00BE10AE">
        <w:rPr>
          <w:rFonts w:ascii="Garamond" w:hAnsi="Garamond"/>
          <w:sz w:val="26"/>
          <w:szCs w:val="26"/>
        </w:rPr>
        <w:t>.</w:t>
      </w:r>
      <w:r w:rsidR="0041668B" w:rsidRPr="00BE10AE">
        <w:rPr>
          <w:rFonts w:ascii="Garamond" w:hAnsi="Garamond"/>
          <w:sz w:val="26"/>
          <w:szCs w:val="26"/>
        </w:rPr>
        <w:t xml:space="preserve"> (</w:t>
      </w:r>
      <w:r w:rsidR="0041668B" w:rsidRPr="00BE10AE">
        <w:rPr>
          <w:rFonts w:ascii="Garamond" w:hAnsi="Garamond"/>
          <w:i/>
          <w:iCs/>
          <w:sz w:val="26"/>
          <w:szCs w:val="26"/>
        </w:rPr>
        <w:t>Ibid</w:t>
      </w:r>
      <w:r w:rsidR="0041668B" w:rsidRPr="00BE10AE">
        <w:rPr>
          <w:rFonts w:ascii="Garamond" w:hAnsi="Garamond"/>
          <w:sz w:val="26"/>
          <w:szCs w:val="26"/>
        </w:rPr>
        <w:t>.)</w:t>
      </w:r>
      <w:r w:rsidR="002A1592" w:rsidRPr="00BE10AE">
        <w:rPr>
          <w:rFonts w:ascii="Garamond" w:hAnsi="Garamond"/>
          <w:sz w:val="26"/>
          <w:szCs w:val="26"/>
        </w:rPr>
        <w:t xml:space="preserve"> </w:t>
      </w:r>
      <w:r w:rsidR="000A6AC2" w:rsidRPr="00BE10AE">
        <w:rPr>
          <w:rFonts w:ascii="Garamond" w:hAnsi="Garamond"/>
          <w:sz w:val="26"/>
          <w:szCs w:val="26"/>
        </w:rPr>
        <w:t xml:space="preserve">Thus </w:t>
      </w:r>
      <w:r w:rsidR="0084241D" w:rsidRPr="00BE10AE">
        <w:rPr>
          <w:rFonts w:ascii="Garamond" w:hAnsi="Garamond"/>
          <w:sz w:val="26"/>
          <w:szCs w:val="26"/>
        </w:rPr>
        <w:t xml:space="preserve">her inability to perform her duties was not a </w:t>
      </w:r>
      <w:r w:rsidR="00345E47" w:rsidRPr="00BE10AE">
        <w:rPr>
          <w:rFonts w:ascii="Garamond" w:hAnsi="Garamond"/>
          <w:sz w:val="26"/>
          <w:szCs w:val="26"/>
        </w:rPr>
        <w:t>“</w:t>
      </w:r>
      <w:r w:rsidR="0084241D" w:rsidRPr="00BE10AE">
        <w:rPr>
          <w:rFonts w:ascii="Garamond" w:hAnsi="Garamond"/>
          <w:sz w:val="26"/>
          <w:szCs w:val="26"/>
        </w:rPr>
        <w:t>demonstrable reality.</w:t>
      </w:r>
      <w:r w:rsidR="00345E47" w:rsidRPr="00BE10AE">
        <w:rPr>
          <w:rFonts w:ascii="Garamond" w:hAnsi="Garamond"/>
          <w:sz w:val="26"/>
          <w:szCs w:val="26"/>
        </w:rPr>
        <w:t>”</w:t>
      </w:r>
      <w:r w:rsidR="0084241D" w:rsidRPr="00BE10AE">
        <w:rPr>
          <w:rFonts w:ascii="Garamond" w:hAnsi="Garamond"/>
          <w:sz w:val="26"/>
          <w:szCs w:val="26"/>
        </w:rPr>
        <w:t xml:space="preserve"> </w:t>
      </w:r>
      <w:r w:rsidR="0041668B" w:rsidRPr="00BE10AE">
        <w:rPr>
          <w:rFonts w:ascii="Garamond" w:hAnsi="Garamond"/>
          <w:sz w:val="26"/>
          <w:szCs w:val="26"/>
        </w:rPr>
        <w:t>(</w:t>
      </w:r>
      <w:r w:rsidR="0041668B" w:rsidRPr="00BE10AE">
        <w:rPr>
          <w:rFonts w:ascii="Garamond" w:hAnsi="Garamond"/>
          <w:i/>
          <w:iCs/>
          <w:sz w:val="26"/>
          <w:szCs w:val="26"/>
        </w:rPr>
        <w:t>Ibid</w:t>
      </w:r>
      <w:r w:rsidR="0041668B" w:rsidRPr="00BE10AE">
        <w:rPr>
          <w:rFonts w:ascii="Garamond" w:hAnsi="Garamond"/>
          <w:sz w:val="26"/>
          <w:szCs w:val="26"/>
        </w:rPr>
        <w:t>.)</w:t>
      </w:r>
    </w:p>
    <w:p w14:paraId="34572B1A" w14:textId="026E2CD4" w:rsidR="00F9720C" w:rsidRPr="00BE10AE" w:rsidRDefault="006A2C05" w:rsidP="00223D90">
      <w:pPr>
        <w:pStyle w:val="ListParagraph"/>
        <w:numPr>
          <w:ilvl w:val="1"/>
          <w:numId w:val="2"/>
        </w:numPr>
        <w:spacing w:line="360" w:lineRule="auto"/>
        <w:rPr>
          <w:rFonts w:ascii="Garamond" w:hAnsi="Garamond"/>
          <w:b/>
          <w:bCs/>
          <w:sz w:val="26"/>
          <w:szCs w:val="26"/>
        </w:rPr>
      </w:pPr>
      <w:r w:rsidRPr="00BE10AE">
        <w:rPr>
          <w:rFonts w:ascii="Garamond" w:hAnsi="Garamond"/>
          <w:b/>
          <w:bCs/>
          <w:sz w:val="26"/>
          <w:szCs w:val="26"/>
        </w:rPr>
        <w:t>Can the judge tell the jury what she thinks about the evidence?</w:t>
      </w:r>
    </w:p>
    <w:p w14:paraId="57BA8580" w14:textId="7346F586" w:rsidR="006A2C05" w:rsidRPr="00BE10AE" w:rsidRDefault="003E53C6" w:rsidP="00131628">
      <w:pPr>
        <w:spacing w:line="360" w:lineRule="auto"/>
        <w:ind w:firstLine="360"/>
        <w:contextualSpacing/>
        <w:rPr>
          <w:rFonts w:ascii="Garamond" w:hAnsi="Garamond"/>
          <w:sz w:val="26"/>
          <w:szCs w:val="26"/>
        </w:rPr>
      </w:pPr>
      <w:r w:rsidRPr="00BE10AE">
        <w:rPr>
          <w:rFonts w:ascii="Garamond" w:hAnsi="Garamond"/>
          <w:sz w:val="26"/>
          <w:szCs w:val="26"/>
        </w:rPr>
        <w:t>As crazy as it sounds, yes</w:t>
      </w:r>
      <w:r w:rsidR="006A2C05" w:rsidRPr="00BE10AE">
        <w:rPr>
          <w:rFonts w:ascii="Garamond" w:hAnsi="Garamond"/>
          <w:sz w:val="26"/>
          <w:szCs w:val="26"/>
        </w:rPr>
        <w:t>. Judicial comments on the evidence are enshrined in Article VI, section 10 of the California Constitution</w:t>
      </w:r>
      <w:r w:rsidR="009A59EF" w:rsidRPr="00BE10AE">
        <w:rPr>
          <w:rFonts w:ascii="Garamond" w:hAnsi="Garamond"/>
          <w:sz w:val="26"/>
          <w:szCs w:val="26"/>
        </w:rPr>
        <w:t>, and certain trial judges have had no problem taking advantage</w:t>
      </w:r>
      <w:r w:rsidR="001F6520">
        <w:rPr>
          <w:rFonts w:ascii="Garamond" w:hAnsi="Garamond"/>
          <w:sz w:val="26"/>
          <w:szCs w:val="26"/>
        </w:rPr>
        <w:t xml:space="preserve"> of this provision</w:t>
      </w:r>
      <w:r w:rsidR="009A59EF" w:rsidRPr="00BE10AE">
        <w:rPr>
          <w:rFonts w:ascii="Garamond" w:hAnsi="Garamond"/>
          <w:sz w:val="26"/>
          <w:szCs w:val="26"/>
        </w:rPr>
        <w:t xml:space="preserve">. In </w:t>
      </w:r>
      <w:r w:rsidR="009A59EF" w:rsidRPr="00BE10AE">
        <w:rPr>
          <w:rFonts w:ascii="Garamond" w:hAnsi="Garamond"/>
          <w:i/>
          <w:iCs/>
          <w:sz w:val="26"/>
          <w:szCs w:val="26"/>
        </w:rPr>
        <w:t>People v. Proctor</w:t>
      </w:r>
      <w:r w:rsidR="00C75C76" w:rsidRPr="00BE10AE">
        <w:rPr>
          <w:rFonts w:ascii="Garamond" w:hAnsi="Garamond"/>
          <w:sz w:val="26"/>
          <w:szCs w:val="26"/>
        </w:rPr>
        <w:t xml:space="preserve"> (1992) 4 Cal. 4th 499, </w:t>
      </w:r>
      <w:r w:rsidR="009A59EF" w:rsidRPr="00BE10AE">
        <w:rPr>
          <w:rFonts w:ascii="Garamond" w:hAnsi="Garamond"/>
          <w:sz w:val="26"/>
          <w:szCs w:val="26"/>
        </w:rPr>
        <w:t>for instance—a death penalty case—the</w:t>
      </w:r>
      <w:r w:rsidR="00B378EA" w:rsidRPr="00BE10AE">
        <w:rPr>
          <w:rFonts w:ascii="Garamond" w:hAnsi="Garamond"/>
          <w:sz w:val="26"/>
          <w:szCs w:val="26"/>
        </w:rPr>
        <w:t xml:space="preserve">re was </w:t>
      </w:r>
      <w:r w:rsidR="001F6520">
        <w:rPr>
          <w:rFonts w:ascii="Garamond" w:hAnsi="Garamond"/>
          <w:sz w:val="26"/>
          <w:szCs w:val="26"/>
        </w:rPr>
        <w:t>one</w:t>
      </w:r>
      <w:r w:rsidR="00B378EA" w:rsidRPr="00BE10AE">
        <w:rPr>
          <w:rFonts w:ascii="Garamond" w:hAnsi="Garamond"/>
          <w:sz w:val="26"/>
          <w:szCs w:val="26"/>
        </w:rPr>
        <w:t xml:space="preserve"> holdout juror on guilt. </w:t>
      </w:r>
      <w:r w:rsidR="006128C4" w:rsidRPr="00BE10AE">
        <w:rPr>
          <w:rFonts w:ascii="Garamond" w:hAnsi="Garamond"/>
          <w:sz w:val="26"/>
          <w:szCs w:val="26"/>
        </w:rPr>
        <w:t>(</w:t>
      </w:r>
      <w:r w:rsidR="006128C4" w:rsidRPr="00BE10AE">
        <w:rPr>
          <w:rFonts w:ascii="Garamond" w:hAnsi="Garamond"/>
          <w:i/>
          <w:iCs/>
          <w:sz w:val="26"/>
          <w:szCs w:val="26"/>
        </w:rPr>
        <w:t>Id</w:t>
      </w:r>
      <w:r w:rsidR="006128C4" w:rsidRPr="00BE10AE">
        <w:rPr>
          <w:rFonts w:ascii="Garamond" w:hAnsi="Garamond"/>
          <w:sz w:val="26"/>
          <w:szCs w:val="26"/>
        </w:rPr>
        <w:t xml:space="preserve">. at p. 539.) </w:t>
      </w:r>
      <w:r w:rsidR="00B378EA" w:rsidRPr="00BE10AE">
        <w:rPr>
          <w:rFonts w:ascii="Garamond" w:hAnsi="Garamond"/>
          <w:sz w:val="26"/>
          <w:szCs w:val="26"/>
        </w:rPr>
        <w:t>The juror</w:t>
      </w:r>
      <w:r w:rsidR="001F6520">
        <w:rPr>
          <w:rFonts w:ascii="Garamond" w:hAnsi="Garamond"/>
          <w:sz w:val="26"/>
          <w:szCs w:val="26"/>
        </w:rPr>
        <w:t xml:space="preserve">, in fact, </w:t>
      </w:r>
      <w:r w:rsidR="00B378EA" w:rsidRPr="00BE10AE">
        <w:rPr>
          <w:rFonts w:ascii="Garamond" w:hAnsi="Garamond"/>
          <w:sz w:val="26"/>
          <w:szCs w:val="26"/>
        </w:rPr>
        <w:t xml:space="preserve">sought to be removed because </w:t>
      </w:r>
      <w:r w:rsidR="000B4E85" w:rsidRPr="00BE10AE">
        <w:rPr>
          <w:rFonts w:ascii="Garamond" w:hAnsi="Garamond"/>
          <w:sz w:val="26"/>
          <w:szCs w:val="26"/>
        </w:rPr>
        <w:t>she was the only vote for not guilty.</w:t>
      </w:r>
      <w:r w:rsidR="006128C4" w:rsidRPr="00BE10AE">
        <w:rPr>
          <w:rFonts w:ascii="Garamond" w:hAnsi="Garamond"/>
          <w:sz w:val="26"/>
          <w:szCs w:val="26"/>
        </w:rPr>
        <w:t xml:space="preserve"> (</w:t>
      </w:r>
      <w:r w:rsidR="006128C4" w:rsidRPr="00BE10AE">
        <w:rPr>
          <w:rFonts w:ascii="Garamond" w:hAnsi="Garamond"/>
          <w:i/>
          <w:iCs/>
          <w:sz w:val="26"/>
          <w:szCs w:val="26"/>
        </w:rPr>
        <w:t>Ibid</w:t>
      </w:r>
      <w:r w:rsidR="006128C4" w:rsidRPr="00BE10AE">
        <w:rPr>
          <w:rFonts w:ascii="Garamond" w:hAnsi="Garamond"/>
          <w:sz w:val="26"/>
          <w:szCs w:val="26"/>
        </w:rPr>
        <w:t>.)</w:t>
      </w:r>
      <w:r w:rsidR="000B4E85" w:rsidRPr="00BE10AE">
        <w:rPr>
          <w:rFonts w:ascii="Garamond" w:hAnsi="Garamond"/>
          <w:sz w:val="26"/>
          <w:szCs w:val="26"/>
        </w:rPr>
        <w:t xml:space="preserve"> Rather than discharge the juror, </w:t>
      </w:r>
      <w:r w:rsidR="00B12DE3" w:rsidRPr="00BE10AE">
        <w:rPr>
          <w:rFonts w:ascii="Garamond" w:hAnsi="Garamond"/>
          <w:sz w:val="26"/>
          <w:szCs w:val="26"/>
        </w:rPr>
        <w:t xml:space="preserve">however, </w:t>
      </w:r>
      <w:r w:rsidR="000B4E85" w:rsidRPr="00BE10AE">
        <w:rPr>
          <w:rFonts w:ascii="Garamond" w:hAnsi="Garamond"/>
          <w:sz w:val="26"/>
          <w:szCs w:val="26"/>
        </w:rPr>
        <w:t xml:space="preserve">the court delivered a closing argument of sorts. </w:t>
      </w:r>
      <w:r w:rsidR="006128C4" w:rsidRPr="00BE10AE">
        <w:rPr>
          <w:rFonts w:ascii="Garamond" w:hAnsi="Garamond"/>
          <w:sz w:val="26"/>
          <w:szCs w:val="26"/>
        </w:rPr>
        <w:t>(</w:t>
      </w:r>
      <w:r w:rsidR="006128C4" w:rsidRPr="00BE10AE">
        <w:rPr>
          <w:rFonts w:ascii="Garamond" w:hAnsi="Garamond"/>
          <w:i/>
          <w:iCs/>
          <w:sz w:val="26"/>
          <w:szCs w:val="26"/>
        </w:rPr>
        <w:t>Id</w:t>
      </w:r>
      <w:r w:rsidR="006128C4" w:rsidRPr="00BE10AE">
        <w:rPr>
          <w:rFonts w:ascii="Garamond" w:hAnsi="Garamond"/>
          <w:sz w:val="26"/>
          <w:szCs w:val="26"/>
        </w:rPr>
        <w:t xml:space="preserve">. at pp. </w:t>
      </w:r>
      <w:r w:rsidR="004F5283" w:rsidRPr="00BE10AE">
        <w:rPr>
          <w:rFonts w:ascii="Garamond" w:hAnsi="Garamond"/>
          <w:sz w:val="26"/>
          <w:szCs w:val="26"/>
        </w:rPr>
        <w:t xml:space="preserve">539-540.) </w:t>
      </w:r>
      <w:r w:rsidR="000B4E85" w:rsidRPr="00BE10AE">
        <w:rPr>
          <w:rFonts w:ascii="Garamond" w:hAnsi="Garamond"/>
          <w:sz w:val="26"/>
          <w:szCs w:val="26"/>
        </w:rPr>
        <w:t xml:space="preserve">The judge said the </w:t>
      </w:r>
      <w:r w:rsidR="00D81E08" w:rsidRPr="00BE10AE">
        <w:rPr>
          <w:rFonts w:ascii="Garamond" w:hAnsi="Garamond"/>
          <w:sz w:val="26"/>
          <w:szCs w:val="26"/>
        </w:rPr>
        <w:t>killing was certainly unlawful and</w:t>
      </w:r>
      <w:r w:rsidR="00A443CA" w:rsidRPr="00BE10AE">
        <w:rPr>
          <w:rFonts w:ascii="Garamond" w:hAnsi="Garamond"/>
          <w:sz w:val="26"/>
          <w:szCs w:val="26"/>
        </w:rPr>
        <w:t xml:space="preserve"> that</w:t>
      </w:r>
      <w:r w:rsidR="00D81E08" w:rsidRPr="00BE10AE">
        <w:rPr>
          <w:rFonts w:ascii="Garamond" w:hAnsi="Garamond"/>
          <w:sz w:val="26"/>
          <w:szCs w:val="26"/>
        </w:rPr>
        <w:t xml:space="preserve"> the only question was whether the defendant </w:t>
      </w:r>
      <w:r w:rsidR="00DF28A0">
        <w:rPr>
          <w:rFonts w:ascii="Garamond" w:hAnsi="Garamond"/>
          <w:sz w:val="26"/>
          <w:szCs w:val="26"/>
        </w:rPr>
        <w:t xml:space="preserve">had </w:t>
      </w:r>
      <w:r w:rsidR="00B715EA" w:rsidRPr="00BE10AE">
        <w:rPr>
          <w:rFonts w:ascii="Garamond" w:hAnsi="Garamond"/>
          <w:sz w:val="26"/>
          <w:szCs w:val="26"/>
        </w:rPr>
        <w:t>committed the killing</w:t>
      </w:r>
      <w:r w:rsidR="00D81E08" w:rsidRPr="00BE10AE">
        <w:rPr>
          <w:rFonts w:ascii="Garamond" w:hAnsi="Garamond"/>
          <w:sz w:val="26"/>
          <w:szCs w:val="26"/>
        </w:rPr>
        <w:t xml:space="preserve">. </w:t>
      </w:r>
      <w:r w:rsidR="004F5283" w:rsidRPr="00BE10AE">
        <w:rPr>
          <w:rFonts w:ascii="Garamond" w:hAnsi="Garamond"/>
          <w:sz w:val="26"/>
          <w:szCs w:val="26"/>
        </w:rPr>
        <w:t>(</w:t>
      </w:r>
      <w:r w:rsidR="004F5283" w:rsidRPr="00BE10AE">
        <w:rPr>
          <w:rFonts w:ascii="Garamond" w:hAnsi="Garamond"/>
          <w:i/>
          <w:iCs/>
          <w:sz w:val="26"/>
          <w:szCs w:val="26"/>
        </w:rPr>
        <w:t>Id</w:t>
      </w:r>
      <w:r w:rsidR="004F5283" w:rsidRPr="00BE10AE">
        <w:rPr>
          <w:rFonts w:ascii="Garamond" w:hAnsi="Garamond"/>
          <w:sz w:val="26"/>
          <w:szCs w:val="26"/>
        </w:rPr>
        <w:t xml:space="preserve">. at p. 540.) </w:t>
      </w:r>
      <w:r w:rsidR="00B715EA" w:rsidRPr="00BE10AE">
        <w:rPr>
          <w:rFonts w:ascii="Garamond" w:hAnsi="Garamond"/>
          <w:sz w:val="26"/>
          <w:szCs w:val="26"/>
        </w:rPr>
        <w:t>The judge</w:t>
      </w:r>
      <w:r w:rsidR="00D81E08" w:rsidRPr="00BE10AE">
        <w:rPr>
          <w:rFonts w:ascii="Garamond" w:hAnsi="Garamond"/>
          <w:sz w:val="26"/>
          <w:szCs w:val="26"/>
        </w:rPr>
        <w:t xml:space="preserve"> said that the defendant</w:t>
      </w:r>
      <w:r w:rsidR="00345E47" w:rsidRPr="00BE10AE">
        <w:rPr>
          <w:rFonts w:ascii="Garamond" w:hAnsi="Garamond"/>
          <w:sz w:val="26"/>
          <w:szCs w:val="26"/>
        </w:rPr>
        <w:t>’</w:t>
      </w:r>
      <w:r w:rsidR="00D81E08" w:rsidRPr="00BE10AE">
        <w:rPr>
          <w:rFonts w:ascii="Garamond" w:hAnsi="Garamond"/>
          <w:sz w:val="26"/>
          <w:szCs w:val="26"/>
        </w:rPr>
        <w:t>s</w:t>
      </w:r>
      <w:r w:rsidR="004836BA" w:rsidRPr="00BE10AE">
        <w:rPr>
          <w:rFonts w:ascii="Garamond" w:hAnsi="Garamond"/>
          <w:sz w:val="26"/>
          <w:szCs w:val="26"/>
        </w:rPr>
        <w:t xml:space="preserve"> out-of-court</w:t>
      </w:r>
      <w:r w:rsidR="00D81E08" w:rsidRPr="00BE10AE">
        <w:rPr>
          <w:rFonts w:ascii="Garamond" w:hAnsi="Garamond"/>
          <w:sz w:val="26"/>
          <w:szCs w:val="26"/>
        </w:rPr>
        <w:t xml:space="preserve"> statements were </w:t>
      </w:r>
      <w:r w:rsidR="004836BA" w:rsidRPr="00BE10AE">
        <w:rPr>
          <w:rFonts w:ascii="Garamond" w:hAnsi="Garamond"/>
          <w:sz w:val="26"/>
          <w:szCs w:val="26"/>
        </w:rPr>
        <w:t>inconsistent with both his in-court testimony and other evidence.</w:t>
      </w:r>
      <w:r w:rsidR="004F5283" w:rsidRPr="00BE10AE">
        <w:rPr>
          <w:rFonts w:ascii="Garamond" w:hAnsi="Garamond"/>
          <w:sz w:val="26"/>
          <w:szCs w:val="26"/>
        </w:rPr>
        <w:t xml:space="preserve"> (</w:t>
      </w:r>
      <w:r w:rsidR="004F5283" w:rsidRPr="00BE10AE">
        <w:rPr>
          <w:rFonts w:ascii="Garamond" w:hAnsi="Garamond"/>
          <w:i/>
          <w:iCs/>
          <w:sz w:val="26"/>
          <w:szCs w:val="26"/>
        </w:rPr>
        <w:t>Ibid</w:t>
      </w:r>
      <w:r w:rsidR="004F5283" w:rsidRPr="00BE10AE">
        <w:rPr>
          <w:rFonts w:ascii="Garamond" w:hAnsi="Garamond"/>
          <w:sz w:val="26"/>
          <w:szCs w:val="26"/>
        </w:rPr>
        <w:t>.)</w:t>
      </w:r>
      <w:r w:rsidR="004836BA" w:rsidRPr="00BE10AE">
        <w:rPr>
          <w:rFonts w:ascii="Garamond" w:hAnsi="Garamond"/>
          <w:sz w:val="26"/>
          <w:szCs w:val="26"/>
        </w:rPr>
        <w:t xml:space="preserve"> </w:t>
      </w:r>
      <w:r w:rsidR="00DF1D46" w:rsidRPr="00BE10AE">
        <w:rPr>
          <w:rFonts w:ascii="Garamond" w:hAnsi="Garamond"/>
          <w:sz w:val="26"/>
          <w:szCs w:val="26"/>
        </w:rPr>
        <w:t xml:space="preserve">The judge </w:t>
      </w:r>
      <w:r w:rsidR="005F2799" w:rsidRPr="00BE10AE">
        <w:rPr>
          <w:rFonts w:ascii="Garamond" w:hAnsi="Garamond"/>
          <w:sz w:val="26"/>
          <w:szCs w:val="26"/>
        </w:rPr>
        <w:t>then pointed to the defendant</w:t>
      </w:r>
      <w:r w:rsidR="00345E47" w:rsidRPr="00BE10AE">
        <w:rPr>
          <w:rFonts w:ascii="Garamond" w:hAnsi="Garamond"/>
          <w:sz w:val="26"/>
          <w:szCs w:val="26"/>
        </w:rPr>
        <w:t>’</w:t>
      </w:r>
      <w:r w:rsidR="005F2799" w:rsidRPr="00BE10AE">
        <w:rPr>
          <w:rFonts w:ascii="Garamond" w:hAnsi="Garamond"/>
          <w:sz w:val="26"/>
          <w:szCs w:val="26"/>
        </w:rPr>
        <w:t xml:space="preserve">s failure to explain some of the forensic evidence and concluded, </w:t>
      </w:r>
      <w:r w:rsidR="00345E47" w:rsidRPr="00BE10AE">
        <w:rPr>
          <w:rFonts w:ascii="Garamond" w:hAnsi="Garamond"/>
          <w:sz w:val="26"/>
          <w:szCs w:val="26"/>
        </w:rPr>
        <w:t>“</w:t>
      </w:r>
      <w:r w:rsidR="005F2799" w:rsidRPr="00BE10AE">
        <w:rPr>
          <w:rFonts w:ascii="Garamond" w:hAnsi="Garamond"/>
          <w:sz w:val="26"/>
          <w:szCs w:val="26"/>
        </w:rPr>
        <w:t>I have difficulty in believing the testimony of the defendant.</w:t>
      </w:r>
      <w:r w:rsidR="00345E47" w:rsidRPr="00BE10AE">
        <w:rPr>
          <w:rFonts w:ascii="Garamond" w:hAnsi="Garamond"/>
          <w:sz w:val="26"/>
          <w:szCs w:val="26"/>
        </w:rPr>
        <w:t>”</w:t>
      </w:r>
      <w:r w:rsidR="004F5283" w:rsidRPr="00BE10AE">
        <w:rPr>
          <w:rFonts w:ascii="Garamond" w:hAnsi="Garamond"/>
          <w:sz w:val="26"/>
          <w:szCs w:val="26"/>
        </w:rPr>
        <w:t xml:space="preserve"> (</w:t>
      </w:r>
      <w:r w:rsidR="00FE6F53" w:rsidRPr="00BE10AE">
        <w:rPr>
          <w:rFonts w:ascii="Garamond" w:hAnsi="Garamond"/>
          <w:i/>
          <w:iCs/>
          <w:sz w:val="26"/>
          <w:szCs w:val="26"/>
        </w:rPr>
        <w:t>Id</w:t>
      </w:r>
      <w:r w:rsidR="00FE6F53" w:rsidRPr="00BE10AE">
        <w:rPr>
          <w:rFonts w:ascii="Garamond" w:hAnsi="Garamond"/>
          <w:sz w:val="26"/>
          <w:szCs w:val="26"/>
        </w:rPr>
        <w:t>. at p. 541</w:t>
      </w:r>
      <w:r w:rsidR="004F5283" w:rsidRPr="00BE10AE">
        <w:rPr>
          <w:rFonts w:ascii="Garamond" w:hAnsi="Garamond"/>
          <w:sz w:val="26"/>
          <w:szCs w:val="26"/>
        </w:rPr>
        <w:t>.)</w:t>
      </w:r>
      <w:r w:rsidR="00DF28A0">
        <w:rPr>
          <w:rFonts w:ascii="Garamond" w:hAnsi="Garamond"/>
          <w:sz w:val="26"/>
          <w:szCs w:val="26"/>
        </w:rPr>
        <w:t xml:space="preserve"> The juror went on to convict. (</w:t>
      </w:r>
      <w:r w:rsidR="00DF28A0" w:rsidRPr="00DF28A0">
        <w:rPr>
          <w:rFonts w:ascii="Garamond" w:hAnsi="Garamond"/>
          <w:i/>
          <w:iCs/>
          <w:sz w:val="26"/>
          <w:szCs w:val="26"/>
        </w:rPr>
        <w:t>Id</w:t>
      </w:r>
      <w:r w:rsidR="00DF28A0">
        <w:rPr>
          <w:rFonts w:ascii="Garamond" w:hAnsi="Garamond"/>
          <w:sz w:val="26"/>
          <w:szCs w:val="26"/>
        </w:rPr>
        <w:t>. at p. 542.)</w:t>
      </w:r>
    </w:p>
    <w:p w14:paraId="01376607" w14:textId="1E4A50A9" w:rsidR="005F2799" w:rsidRPr="00BE10AE" w:rsidRDefault="005F2799" w:rsidP="00131628">
      <w:pPr>
        <w:spacing w:line="360" w:lineRule="auto"/>
        <w:ind w:firstLine="360"/>
        <w:contextualSpacing/>
        <w:rPr>
          <w:rFonts w:ascii="Garamond" w:hAnsi="Garamond"/>
          <w:sz w:val="26"/>
          <w:szCs w:val="26"/>
        </w:rPr>
      </w:pPr>
      <w:r w:rsidRPr="00BE10AE">
        <w:rPr>
          <w:rFonts w:ascii="Garamond" w:hAnsi="Garamond"/>
          <w:sz w:val="26"/>
          <w:szCs w:val="26"/>
        </w:rPr>
        <w:t>And this was upheld!</w:t>
      </w:r>
      <w:r w:rsidR="00C92972" w:rsidRPr="00BE10AE">
        <w:rPr>
          <w:rFonts w:ascii="Garamond" w:hAnsi="Garamond"/>
          <w:sz w:val="26"/>
          <w:szCs w:val="26"/>
        </w:rPr>
        <w:t xml:space="preserve"> A trial court</w:t>
      </w:r>
      <w:r w:rsidR="00345E47" w:rsidRPr="00BE10AE">
        <w:rPr>
          <w:rFonts w:ascii="Garamond" w:hAnsi="Garamond"/>
          <w:sz w:val="26"/>
          <w:szCs w:val="26"/>
        </w:rPr>
        <w:t>’</w:t>
      </w:r>
      <w:r w:rsidR="00C92972" w:rsidRPr="00BE10AE">
        <w:rPr>
          <w:rFonts w:ascii="Garamond" w:hAnsi="Garamond"/>
          <w:sz w:val="26"/>
          <w:szCs w:val="26"/>
        </w:rPr>
        <w:t xml:space="preserve">s </w:t>
      </w:r>
      <w:r w:rsidR="00345E47" w:rsidRPr="00BE10AE">
        <w:rPr>
          <w:rFonts w:ascii="Garamond" w:hAnsi="Garamond"/>
          <w:sz w:val="26"/>
          <w:szCs w:val="26"/>
        </w:rPr>
        <w:t>“</w:t>
      </w:r>
      <w:r w:rsidR="00C92972" w:rsidRPr="00BE10AE">
        <w:rPr>
          <w:rFonts w:ascii="Garamond" w:hAnsi="Garamond"/>
          <w:sz w:val="26"/>
          <w:szCs w:val="26"/>
        </w:rPr>
        <w:t>comment</w:t>
      </w:r>
      <w:r w:rsidR="00C16111" w:rsidRPr="00BE10AE">
        <w:rPr>
          <w:rFonts w:ascii="Garamond" w:hAnsi="Garamond"/>
          <w:sz w:val="26"/>
          <w:szCs w:val="26"/>
        </w:rPr>
        <w:t xml:space="preserve">s </w:t>
      </w:r>
      <w:r w:rsidR="00C92972" w:rsidRPr="00BE10AE">
        <w:rPr>
          <w:rFonts w:ascii="Garamond" w:hAnsi="Garamond"/>
          <w:sz w:val="26"/>
          <w:szCs w:val="26"/>
        </w:rPr>
        <w:t>on the evidence must be accurate, temperate, nonargumentative, and scrupulously fair. The trial court may not, in the guise of privileged comment, withdraw material evidence from the jury</w:t>
      </w:r>
      <w:r w:rsidR="00345E47" w:rsidRPr="00BE10AE">
        <w:rPr>
          <w:rFonts w:ascii="Garamond" w:hAnsi="Garamond"/>
          <w:sz w:val="26"/>
          <w:szCs w:val="26"/>
        </w:rPr>
        <w:t>’</w:t>
      </w:r>
      <w:r w:rsidR="00C92972" w:rsidRPr="00BE10AE">
        <w:rPr>
          <w:rFonts w:ascii="Garamond" w:hAnsi="Garamond"/>
          <w:sz w:val="26"/>
          <w:szCs w:val="26"/>
        </w:rPr>
        <w:t>s consideration, distort the record, expressly or impliedly direct a verdict, or otherwise usurp the jury</w:t>
      </w:r>
      <w:r w:rsidR="00345E47" w:rsidRPr="00BE10AE">
        <w:rPr>
          <w:rFonts w:ascii="Garamond" w:hAnsi="Garamond"/>
          <w:sz w:val="26"/>
          <w:szCs w:val="26"/>
        </w:rPr>
        <w:t>’</w:t>
      </w:r>
      <w:r w:rsidR="00C92972" w:rsidRPr="00BE10AE">
        <w:rPr>
          <w:rFonts w:ascii="Garamond" w:hAnsi="Garamond"/>
          <w:sz w:val="26"/>
          <w:szCs w:val="26"/>
        </w:rPr>
        <w:t>s ultimate factfinding power.</w:t>
      </w:r>
      <w:r w:rsidR="00345E47" w:rsidRPr="00BE10AE">
        <w:rPr>
          <w:rFonts w:ascii="Garamond" w:hAnsi="Garamond"/>
          <w:sz w:val="26"/>
          <w:szCs w:val="26"/>
        </w:rPr>
        <w:t>”</w:t>
      </w:r>
      <w:r w:rsidR="00C92972" w:rsidRPr="00BE10AE">
        <w:rPr>
          <w:rFonts w:ascii="Garamond" w:hAnsi="Garamond"/>
          <w:sz w:val="26"/>
          <w:szCs w:val="26"/>
        </w:rPr>
        <w:t xml:space="preserve"> (</w:t>
      </w:r>
      <w:r w:rsidR="00C92972" w:rsidRPr="00BE10AE">
        <w:rPr>
          <w:rFonts w:ascii="Garamond" w:hAnsi="Garamond"/>
          <w:i/>
          <w:iCs/>
          <w:sz w:val="26"/>
          <w:szCs w:val="26"/>
        </w:rPr>
        <w:t>Proctor</w:t>
      </w:r>
      <w:r w:rsidR="00C92972" w:rsidRPr="00BE10AE">
        <w:rPr>
          <w:rFonts w:ascii="Garamond" w:hAnsi="Garamond"/>
          <w:sz w:val="26"/>
          <w:szCs w:val="26"/>
        </w:rPr>
        <w:t xml:space="preserve">, </w:t>
      </w:r>
      <w:r w:rsidR="00C92972" w:rsidRPr="00BE10AE">
        <w:rPr>
          <w:rFonts w:ascii="Garamond" w:hAnsi="Garamond"/>
          <w:i/>
          <w:iCs/>
          <w:sz w:val="26"/>
          <w:szCs w:val="26"/>
        </w:rPr>
        <w:t>supra</w:t>
      </w:r>
      <w:r w:rsidR="00C92972" w:rsidRPr="00BE10AE">
        <w:rPr>
          <w:rFonts w:ascii="Garamond" w:hAnsi="Garamond"/>
          <w:sz w:val="26"/>
          <w:szCs w:val="26"/>
        </w:rPr>
        <w:t xml:space="preserve">, 4 Cal.4th at p. 542.) </w:t>
      </w:r>
      <w:r w:rsidR="00345E47" w:rsidRPr="00BE10AE">
        <w:rPr>
          <w:rFonts w:ascii="Garamond" w:hAnsi="Garamond"/>
          <w:sz w:val="26"/>
          <w:szCs w:val="26"/>
        </w:rPr>
        <w:t>“</w:t>
      </w:r>
      <w:r w:rsidR="00C92972" w:rsidRPr="00BE10AE">
        <w:rPr>
          <w:rFonts w:ascii="Garamond" w:hAnsi="Garamond"/>
          <w:sz w:val="26"/>
          <w:szCs w:val="26"/>
        </w:rPr>
        <w:t>The propriety and prejudicial effect of a particular comment are judged both by its content and by the circumstances in which it was made.</w:t>
      </w:r>
      <w:r w:rsidR="00345E47" w:rsidRPr="00BE10AE">
        <w:rPr>
          <w:rFonts w:ascii="Garamond" w:hAnsi="Garamond"/>
          <w:sz w:val="26"/>
          <w:szCs w:val="26"/>
        </w:rPr>
        <w:t>”</w:t>
      </w:r>
      <w:r w:rsidR="00C92972" w:rsidRPr="00BE10AE">
        <w:rPr>
          <w:rFonts w:ascii="Garamond" w:hAnsi="Garamond"/>
          <w:sz w:val="26"/>
          <w:szCs w:val="26"/>
        </w:rPr>
        <w:t xml:space="preserve"> (</w:t>
      </w:r>
      <w:r w:rsidR="00C92972" w:rsidRPr="00BE10AE">
        <w:rPr>
          <w:rFonts w:ascii="Garamond" w:hAnsi="Garamond"/>
          <w:i/>
          <w:iCs/>
          <w:sz w:val="26"/>
          <w:szCs w:val="26"/>
        </w:rPr>
        <w:t>People v. Melton</w:t>
      </w:r>
      <w:r w:rsidR="00C92972" w:rsidRPr="00BE10AE">
        <w:rPr>
          <w:rFonts w:ascii="Garamond" w:hAnsi="Garamond"/>
          <w:sz w:val="26"/>
          <w:szCs w:val="26"/>
        </w:rPr>
        <w:t xml:space="preserve"> (1988) 44 Cal.3d 713, 735.)</w:t>
      </w:r>
      <w:r w:rsidR="00CA7F82" w:rsidRPr="00BE10AE">
        <w:rPr>
          <w:rFonts w:ascii="Garamond" w:hAnsi="Garamond"/>
          <w:sz w:val="26"/>
          <w:szCs w:val="26"/>
        </w:rPr>
        <w:t xml:space="preserve"> Here, the Supreme Court </w:t>
      </w:r>
      <w:r w:rsidR="00BA3DDA">
        <w:rPr>
          <w:rFonts w:ascii="Garamond" w:hAnsi="Garamond"/>
          <w:sz w:val="26"/>
          <w:szCs w:val="26"/>
        </w:rPr>
        <w:t xml:space="preserve">evidently </w:t>
      </w:r>
      <w:r w:rsidR="00CA7F82" w:rsidRPr="00BE10AE">
        <w:rPr>
          <w:rFonts w:ascii="Garamond" w:hAnsi="Garamond"/>
          <w:sz w:val="26"/>
          <w:szCs w:val="26"/>
        </w:rPr>
        <w:t>thought that telling a holdout juror that the defendant was lying was entirely proper</w:t>
      </w:r>
      <w:r w:rsidR="001772D1">
        <w:rPr>
          <w:rFonts w:ascii="Garamond" w:hAnsi="Garamond"/>
          <w:sz w:val="26"/>
          <w:szCs w:val="26"/>
        </w:rPr>
        <w:t>,</w:t>
      </w:r>
      <w:r w:rsidR="00BA3DDA">
        <w:rPr>
          <w:rFonts w:ascii="Garamond" w:hAnsi="Garamond"/>
          <w:sz w:val="26"/>
          <w:szCs w:val="26"/>
        </w:rPr>
        <w:t xml:space="preserve"> and </w:t>
      </w:r>
      <w:r w:rsidR="001772D1">
        <w:rPr>
          <w:rFonts w:ascii="Garamond" w:hAnsi="Garamond"/>
          <w:sz w:val="26"/>
          <w:szCs w:val="26"/>
        </w:rPr>
        <w:t xml:space="preserve">it </w:t>
      </w:r>
      <w:r w:rsidR="00BA3DDA">
        <w:rPr>
          <w:rFonts w:ascii="Garamond" w:hAnsi="Garamond"/>
          <w:sz w:val="26"/>
          <w:szCs w:val="26"/>
        </w:rPr>
        <w:t>upheld the verdict</w:t>
      </w:r>
      <w:r w:rsidR="00CA7F82" w:rsidRPr="00BE10AE">
        <w:rPr>
          <w:rFonts w:ascii="Garamond" w:hAnsi="Garamond"/>
          <w:sz w:val="26"/>
          <w:szCs w:val="26"/>
        </w:rPr>
        <w:t xml:space="preserve">. </w:t>
      </w:r>
      <w:r w:rsidR="00FE6F53" w:rsidRPr="00BE10AE">
        <w:rPr>
          <w:rFonts w:ascii="Garamond" w:hAnsi="Garamond"/>
          <w:sz w:val="26"/>
          <w:szCs w:val="26"/>
        </w:rPr>
        <w:t>(</w:t>
      </w:r>
      <w:r w:rsidR="00FE6F53" w:rsidRPr="00BE10AE">
        <w:rPr>
          <w:rFonts w:ascii="Garamond" w:hAnsi="Garamond"/>
          <w:i/>
          <w:iCs/>
          <w:sz w:val="26"/>
          <w:szCs w:val="26"/>
        </w:rPr>
        <w:t>Proctor</w:t>
      </w:r>
      <w:r w:rsidR="00FE6F53" w:rsidRPr="00BE10AE">
        <w:rPr>
          <w:rFonts w:ascii="Garamond" w:hAnsi="Garamond"/>
          <w:sz w:val="26"/>
          <w:szCs w:val="26"/>
        </w:rPr>
        <w:t xml:space="preserve">, </w:t>
      </w:r>
      <w:r w:rsidR="00FE6F53" w:rsidRPr="00BE10AE">
        <w:rPr>
          <w:rFonts w:ascii="Garamond" w:hAnsi="Garamond"/>
          <w:i/>
          <w:iCs/>
          <w:sz w:val="26"/>
          <w:szCs w:val="26"/>
        </w:rPr>
        <w:t>supra</w:t>
      </w:r>
      <w:r w:rsidR="00FE6F53" w:rsidRPr="00BE10AE">
        <w:rPr>
          <w:rFonts w:ascii="Garamond" w:hAnsi="Garamond"/>
          <w:sz w:val="26"/>
          <w:szCs w:val="26"/>
        </w:rPr>
        <w:t xml:space="preserve">, 4 Cal.4th at p. 542.) </w:t>
      </w:r>
    </w:p>
    <w:p w14:paraId="534750BF" w14:textId="0291719E" w:rsidR="00463171" w:rsidRPr="00BE10AE" w:rsidRDefault="003E2391" w:rsidP="00131628">
      <w:pPr>
        <w:spacing w:line="360" w:lineRule="auto"/>
        <w:ind w:firstLine="360"/>
        <w:contextualSpacing/>
        <w:rPr>
          <w:rFonts w:ascii="Garamond" w:hAnsi="Garamond"/>
          <w:sz w:val="26"/>
          <w:szCs w:val="26"/>
        </w:rPr>
      </w:pPr>
      <w:r w:rsidRPr="00BE10AE">
        <w:rPr>
          <w:rFonts w:ascii="Garamond" w:hAnsi="Garamond"/>
          <w:sz w:val="26"/>
          <w:szCs w:val="26"/>
        </w:rPr>
        <w:t xml:space="preserve">All is not lost, however. </w:t>
      </w:r>
      <w:r w:rsidR="00595294" w:rsidRPr="00BE10AE">
        <w:rPr>
          <w:rFonts w:ascii="Garamond" w:hAnsi="Garamond"/>
          <w:sz w:val="26"/>
          <w:szCs w:val="26"/>
        </w:rPr>
        <w:t xml:space="preserve">If you find that the judge </w:t>
      </w:r>
      <w:r w:rsidR="008C69D2" w:rsidRPr="00BE10AE">
        <w:rPr>
          <w:rFonts w:ascii="Garamond" w:hAnsi="Garamond"/>
          <w:sz w:val="26"/>
          <w:szCs w:val="26"/>
        </w:rPr>
        <w:t>told the jury that your guy was guilty, you</w:t>
      </w:r>
      <w:r w:rsidRPr="00BE10AE">
        <w:rPr>
          <w:rFonts w:ascii="Garamond" w:hAnsi="Garamond"/>
          <w:sz w:val="26"/>
          <w:szCs w:val="26"/>
        </w:rPr>
        <w:t xml:space="preserve"> can point to </w:t>
      </w:r>
      <w:r w:rsidRPr="00BE10AE">
        <w:rPr>
          <w:rFonts w:ascii="Garamond" w:hAnsi="Garamond"/>
          <w:i/>
          <w:iCs/>
          <w:sz w:val="26"/>
          <w:szCs w:val="26"/>
        </w:rPr>
        <w:t>People v. Anderson</w:t>
      </w:r>
      <w:r w:rsidRPr="00BE10AE">
        <w:rPr>
          <w:rFonts w:ascii="Garamond" w:hAnsi="Garamond"/>
          <w:sz w:val="26"/>
          <w:szCs w:val="26"/>
        </w:rPr>
        <w:t xml:space="preserve"> (</w:t>
      </w:r>
      <w:r w:rsidR="00490DB9" w:rsidRPr="00BE10AE">
        <w:rPr>
          <w:rFonts w:ascii="Garamond" w:hAnsi="Garamond"/>
          <w:sz w:val="26"/>
          <w:szCs w:val="26"/>
        </w:rPr>
        <w:t>1990) 52 Cal. 3d 453</w:t>
      </w:r>
      <w:r w:rsidR="00FE6F53" w:rsidRPr="00BE10AE">
        <w:rPr>
          <w:rFonts w:ascii="Garamond" w:hAnsi="Garamond"/>
          <w:sz w:val="26"/>
          <w:szCs w:val="26"/>
        </w:rPr>
        <w:t xml:space="preserve"> </w:t>
      </w:r>
      <w:r w:rsidR="00082456" w:rsidRPr="00BE10AE">
        <w:rPr>
          <w:rFonts w:ascii="Garamond" w:hAnsi="Garamond"/>
          <w:sz w:val="26"/>
          <w:szCs w:val="26"/>
        </w:rPr>
        <w:t xml:space="preserve">for an example of a </w:t>
      </w:r>
      <w:r w:rsidR="001F0059" w:rsidRPr="00BE10AE">
        <w:rPr>
          <w:rFonts w:ascii="Garamond" w:hAnsi="Garamond"/>
          <w:sz w:val="26"/>
          <w:szCs w:val="26"/>
        </w:rPr>
        <w:t xml:space="preserve">trial court </w:t>
      </w:r>
      <w:r w:rsidR="00345E47" w:rsidRPr="00BE10AE">
        <w:rPr>
          <w:rFonts w:ascii="Garamond" w:hAnsi="Garamond"/>
          <w:sz w:val="26"/>
          <w:szCs w:val="26"/>
        </w:rPr>
        <w:t>“</w:t>
      </w:r>
      <w:r w:rsidR="001F0059" w:rsidRPr="00BE10AE">
        <w:rPr>
          <w:rFonts w:ascii="Garamond" w:hAnsi="Garamond"/>
          <w:sz w:val="26"/>
          <w:szCs w:val="26"/>
        </w:rPr>
        <w:t>effectively directing a verdict.</w:t>
      </w:r>
      <w:r w:rsidR="00345E47" w:rsidRPr="00BE10AE">
        <w:rPr>
          <w:rFonts w:ascii="Garamond" w:hAnsi="Garamond"/>
          <w:sz w:val="26"/>
          <w:szCs w:val="26"/>
        </w:rPr>
        <w:t>”</w:t>
      </w:r>
      <w:r w:rsidR="00FE6F53" w:rsidRPr="00BE10AE">
        <w:rPr>
          <w:rFonts w:ascii="Garamond" w:hAnsi="Garamond"/>
          <w:sz w:val="26"/>
          <w:szCs w:val="26"/>
        </w:rPr>
        <w:t xml:space="preserve"> (</w:t>
      </w:r>
      <w:r w:rsidR="00FE6F53" w:rsidRPr="00BE10AE">
        <w:rPr>
          <w:rFonts w:ascii="Garamond" w:hAnsi="Garamond"/>
          <w:i/>
          <w:iCs/>
          <w:sz w:val="26"/>
          <w:szCs w:val="26"/>
        </w:rPr>
        <w:t>Id</w:t>
      </w:r>
      <w:r w:rsidR="00FE6F53" w:rsidRPr="00BE10AE">
        <w:rPr>
          <w:rFonts w:ascii="Garamond" w:hAnsi="Garamond"/>
          <w:sz w:val="26"/>
          <w:szCs w:val="26"/>
        </w:rPr>
        <w:t xml:space="preserve">. at p. </w:t>
      </w:r>
      <w:r w:rsidR="007369F7" w:rsidRPr="00BE10AE">
        <w:rPr>
          <w:rFonts w:ascii="Garamond" w:hAnsi="Garamond"/>
          <w:sz w:val="26"/>
          <w:szCs w:val="26"/>
        </w:rPr>
        <w:t>4</w:t>
      </w:r>
      <w:r w:rsidR="00A33A7D" w:rsidRPr="00BE10AE">
        <w:rPr>
          <w:rFonts w:ascii="Garamond" w:hAnsi="Garamond"/>
          <w:sz w:val="26"/>
          <w:szCs w:val="26"/>
        </w:rPr>
        <w:t>6</w:t>
      </w:r>
      <w:r w:rsidR="007369F7" w:rsidRPr="00BE10AE">
        <w:rPr>
          <w:rFonts w:ascii="Garamond" w:hAnsi="Garamond"/>
          <w:sz w:val="26"/>
          <w:szCs w:val="26"/>
        </w:rPr>
        <w:t>9.)</w:t>
      </w:r>
      <w:r w:rsidR="001F0059" w:rsidRPr="00BE10AE">
        <w:rPr>
          <w:rFonts w:ascii="Garamond" w:hAnsi="Garamond"/>
          <w:sz w:val="26"/>
          <w:szCs w:val="26"/>
        </w:rPr>
        <w:t xml:space="preserve"> T</w:t>
      </w:r>
      <w:r w:rsidR="00932876" w:rsidRPr="00BE10AE">
        <w:rPr>
          <w:rFonts w:ascii="Garamond" w:hAnsi="Garamond"/>
          <w:sz w:val="26"/>
          <w:szCs w:val="26"/>
        </w:rPr>
        <w:t>here, t</w:t>
      </w:r>
      <w:r w:rsidR="001F0059" w:rsidRPr="00BE10AE">
        <w:rPr>
          <w:rFonts w:ascii="Garamond" w:hAnsi="Garamond"/>
          <w:sz w:val="26"/>
          <w:szCs w:val="26"/>
        </w:rPr>
        <w:t xml:space="preserve">he trial court said, before deliberations had even begun, </w:t>
      </w:r>
      <w:r w:rsidR="00904E5D" w:rsidRPr="00BE10AE">
        <w:rPr>
          <w:rFonts w:ascii="Garamond" w:hAnsi="Garamond"/>
          <w:sz w:val="26"/>
          <w:szCs w:val="26"/>
        </w:rPr>
        <w:t xml:space="preserve">said it was </w:t>
      </w:r>
      <w:r w:rsidR="00345E47" w:rsidRPr="00BE10AE">
        <w:rPr>
          <w:rFonts w:ascii="Garamond" w:hAnsi="Garamond"/>
          <w:sz w:val="26"/>
          <w:szCs w:val="26"/>
        </w:rPr>
        <w:t>“</w:t>
      </w:r>
      <w:r w:rsidR="00904E5D" w:rsidRPr="00BE10AE">
        <w:rPr>
          <w:rFonts w:ascii="Garamond" w:hAnsi="Garamond"/>
          <w:sz w:val="26"/>
          <w:szCs w:val="26"/>
        </w:rPr>
        <w:t>very likely</w:t>
      </w:r>
      <w:r w:rsidR="00345E47" w:rsidRPr="00BE10AE">
        <w:rPr>
          <w:rFonts w:ascii="Garamond" w:hAnsi="Garamond"/>
          <w:sz w:val="26"/>
          <w:szCs w:val="26"/>
        </w:rPr>
        <w:t>”</w:t>
      </w:r>
      <w:r w:rsidR="00904E5D" w:rsidRPr="00BE10AE">
        <w:rPr>
          <w:rFonts w:ascii="Garamond" w:hAnsi="Garamond"/>
          <w:sz w:val="26"/>
          <w:szCs w:val="26"/>
        </w:rPr>
        <w:t xml:space="preserve"> a special-circumstances verdict would be returned in two to three hours and that the </w:t>
      </w:r>
      <w:r w:rsidR="00775188" w:rsidRPr="00BE10AE">
        <w:rPr>
          <w:rFonts w:ascii="Garamond" w:hAnsi="Garamond"/>
          <w:sz w:val="26"/>
          <w:szCs w:val="26"/>
        </w:rPr>
        <w:t>defendant</w:t>
      </w:r>
      <w:r w:rsidR="00345E47" w:rsidRPr="00BE10AE">
        <w:rPr>
          <w:rFonts w:ascii="Garamond" w:hAnsi="Garamond"/>
          <w:sz w:val="26"/>
          <w:szCs w:val="26"/>
        </w:rPr>
        <w:t>’</w:t>
      </w:r>
      <w:r w:rsidR="00775188" w:rsidRPr="00BE10AE">
        <w:rPr>
          <w:rFonts w:ascii="Garamond" w:hAnsi="Garamond"/>
          <w:sz w:val="26"/>
          <w:szCs w:val="26"/>
        </w:rPr>
        <w:t xml:space="preserve">s </w:t>
      </w:r>
      <w:r w:rsidR="00345E47" w:rsidRPr="00BE10AE">
        <w:rPr>
          <w:rFonts w:ascii="Garamond" w:hAnsi="Garamond"/>
          <w:sz w:val="26"/>
          <w:szCs w:val="26"/>
        </w:rPr>
        <w:t>“</w:t>
      </w:r>
      <w:r w:rsidR="00775188" w:rsidRPr="00BE10AE">
        <w:rPr>
          <w:rFonts w:ascii="Garamond" w:hAnsi="Garamond"/>
          <w:sz w:val="26"/>
          <w:szCs w:val="26"/>
        </w:rPr>
        <w:t>intent to kill</w:t>
      </w:r>
      <w:r w:rsidR="00345E47" w:rsidRPr="00BE10AE">
        <w:rPr>
          <w:rFonts w:ascii="Garamond" w:hAnsi="Garamond"/>
          <w:sz w:val="26"/>
          <w:szCs w:val="26"/>
        </w:rPr>
        <w:t>”</w:t>
      </w:r>
      <w:r w:rsidR="00775188" w:rsidRPr="00BE10AE">
        <w:rPr>
          <w:rFonts w:ascii="Garamond" w:hAnsi="Garamond"/>
          <w:sz w:val="26"/>
          <w:szCs w:val="26"/>
        </w:rPr>
        <w:t xml:space="preserve"> was a fairly simple question. </w:t>
      </w:r>
      <w:r w:rsidR="00A33A7D" w:rsidRPr="00BE10AE">
        <w:rPr>
          <w:rFonts w:ascii="Garamond" w:hAnsi="Garamond"/>
          <w:sz w:val="26"/>
          <w:szCs w:val="26"/>
        </w:rPr>
        <w:t>(</w:t>
      </w:r>
      <w:r w:rsidR="00A33A7D" w:rsidRPr="00BE10AE">
        <w:rPr>
          <w:rFonts w:ascii="Garamond" w:hAnsi="Garamond"/>
          <w:i/>
          <w:iCs/>
          <w:sz w:val="26"/>
          <w:szCs w:val="26"/>
        </w:rPr>
        <w:t>Ibid</w:t>
      </w:r>
      <w:r w:rsidR="00A33A7D" w:rsidRPr="00BE10AE">
        <w:rPr>
          <w:rFonts w:ascii="Garamond" w:hAnsi="Garamond"/>
          <w:sz w:val="26"/>
          <w:szCs w:val="26"/>
        </w:rPr>
        <w:t xml:space="preserve">.) </w:t>
      </w:r>
      <w:r w:rsidR="00775188" w:rsidRPr="00BE10AE">
        <w:rPr>
          <w:rFonts w:ascii="Garamond" w:hAnsi="Garamond"/>
          <w:sz w:val="26"/>
          <w:szCs w:val="26"/>
        </w:rPr>
        <w:t xml:space="preserve">The court found these comments </w:t>
      </w:r>
      <w:r w:rsidR="006542B4" w:rsidRPr="00BE10AE">
        <w:rPr>
          <w:rFonts w:ascii="Garamond" w:hAnsi="Garamond"/>
          <w:sz w:val="26"/>
          <w:szCs w:val="26"/>
        </w:rPr>
        <w:t xml:space="preserve">improperly coercive. It cited </w:t>
      </w:r>
      <w:r w:rsidR="006542B4" w:rsidRPr="00BE10AE">
        <w:rPr>
          <w:rFonts w:ascii="Garamond" w:hAnsi="Garamond"/>
          <w:i/>
          <w:iCs/>
          <w:sz w:val="26"/>
          <w:szCs w:val="26"/>
        </w:rPr>
        <w:t>People v. Keenan</w:t>
      </w:r>
      <w:r w:rsidR="006542B4" w:rsidRPr="00BE10AE">
        <w:rPr>
          <w:rFonts w:ascii="Garamond" w:hAnsi="Garamond"/>
          <w:sz w:val="26"/>
          <w:szCs w:val="26"/>
        </w:rPr>
        <w:t xml:space="preserve"> (1988) 46 Cal.3d 478, 534 to say</w:t>
      </w:r>
      <w:r w:rsidR="008C69D2" w:rsidRPr="00BE10AE">
        <w:rPr>
          <w:rFonts w:ascii="Garamond" w:hAnsi="Garamond"/>
          <w:sz w:val="26"/>
          <w:szCs w:val="26"/>
        </w:rPr>
        <w:t>,</w:t>
      </w:r>
      <w:r w:rsidR="006542B4" w:rsidRPr="00BE10AE">
        <w:rPr>
          <w:rFonts w:ascii="Garamond" w:hAnsi="Garamond"/>
          <w:sz w:val="26"/>
          <w:szCs w:val="26"/>
        </w:rPr>
        <w:t xml:space="preserve"> </w:t>
      </w:r>
      <w:r w:rsidR="00345E47" w:rsidRPr="00BE10AE">
        <w:rPr>
          <w:rFonts w:ascii="Garamond" w:hAnsi="Garamond"/>
          <w:sz w:val="26"/>
          <w:szCs w:val="26"/>
        </w:rPr>
        <w:t>“</w:t>
      </w:r>
      <w:r w:rsidR="00E37018" w:rsidRPr="00BE10AE">
        <w:rPr>
          <w:rFonts w:ascii="Garamond" w:hAnsi="Garamond"/>
          <w:sz w:val="26"/>
          <w:szCs w:val="26"/>
        </w:rPr>
        <w:t>A trial judge should refrain from placing specific time pressure on a deliberating jury and should never imply that the case warrants only desultory deliberation. Such comments risk persuading legitimate dissidents, whatever their views, that the court considers their position unreasonable.</w:t>
      </w:r>
      <w:r w:rsidR="00345E47" w:rsidRPr="00BE10AE">
        <w:rPr>
          <w:rFonts w:ascii="Garamond" w:hAnsi="Garamond"/>
          <w:sz w:val="26"/>
          <w:szCs w:val="26"/>
        </w:rPr>
        <w:t>”</w:t>
      </w:r>
      <w:r w:rsidR="00F66F62" w:rsidRPr="00BE10AE">
        <w:rPr>
          <w:rStyle w:val="FootnoteReference"/>
          <w:rFonts w:ascii="Garamond" w:hAnsi="Garamond"/>
          <w:sz w:val="26"/>
          <w:szCs w:val="26"/>
        </w:rPr>
        <w:footnoteReference w:id="3"/>
      </w:r>
      <w:r w:rsidR="009D0310" w:rsidRPr="00BE10AE">
        <w:rPr>
          <w:rFonts w:ascii="Garamond" w:hAnsi="Garamond"/>
          <w:sz w:val="26"/>
          <w:szCs w:val="26"/>
        </w:rPr>
        <w:t xml:space="preserve"> (</w:t>
      </w:r>
      <w:r w:rsidR="009D0310" w:rsidRPr="00BE10AE">
        <w:rPr>
          <w:rFonts w:ascii="Garamond" w:hAnsi="Garamond"/>
          <w:i/>
          <w:iCs/>
          <w:sz w:val="26"/>
          <w:szCs w:val="26"/>
        </w:rPr>
        <w:t>Ibid</w:t>
      </w:r>
      <w:r w:rsidR="009D0310" w:rsidRPr="00BE10AE">
        <w:rPr>
          <w:rFonts w:ascii="Garamond" w:hAnsi="Garamond"/>
          <w:sz w:val="26"/>
          <w:szCs w:val="26"/>
        </w:rPr>
        <w:t>.)</w:t>
      </w:r>
    </w:p>
    <w:p w14:paraId="54C22D9C" w14:textId="71667EBE" w:rsidR="00512355" w:rsidRPr="00BE10AE" w:rsidRDefault="00512355" w:rsidP="00793037">
      <w:pPr>
        <w:pStyle w:val="ListParagraph"/>
        <w:numPr>
          <w:ilvl w:val="0"/>
          <w:numId w:val="2"/>
        </w:numPr>
        <w:spacing w:line="360" w:lineRule="auto"/>
        <w:rPr>
          <w:rFonts w:ascii="Garamond" w:hAnsi="Garamond"/>
          <w:b/>
          <w:bCs/>
          <w:sz w:val="26"/>
          <w:szCs w:val="26"/>
        </w:rPr>
      </w:pPr>
      <w:r w:rsidRPr="00BE10AE">
        <w:rPr>
          <w:rFonts w:ascii="Garamond" w:hAnsi="Garamond"/>
          <w:b/>
          <w:bCs/>
          <w:sz w:val="26"/>
          <w:szCs w:val="26"/>
        </w:rPr>
        <w:t>A</w:t>
      </w:r>
      <w:r w:rsidR="00AC2B7F" w:rsidRPr="00BE10AE">
        <w:rPr>
          <w:rFonts w:ascii="Garamond" w:hAnsi="Garamond"/>
          <w:b/>
          <w:bCs/>
          <w:sz w:val="26"/>
          <w:szCs w:val="26"/>
        </w:rPr>
        <w:t>re there a</w:t>
      </w:r>
      <w:r w:rsidRPr="00BE10AE">
        <w:rPr>
          <w:rFonts w:ascii="Garamond" w:hAnsi="Garamond"/>
          <w:b/>
          <w:bCs/>
          <w:sz w:val="26"/>
          <w:szCs w:val="26"/>
        </w:rPr>
        <w:t>ny other areas of judicial misconduct?</w:t>
      </w:r>
    </w:p>
    <w:p w14:paraId="5309B4F5" w14:textId="1544C2FB" w:rsidR="00512355" w:rsidRPr="00BE10AE" w:rsidRDefault="00512355" w:rsidP="00131628">
      <w:pPr>
        <w:spacing w:line="360" w:lineRule="auto"/>
        <w:ind w:firstLine="360"/>
        <w:contextualSpacing/>
        <w:rPr>
          <w:rFonts w:ascii="Garamond" w:hAnsi="Garamond"/>
          <w:sz w:val="26"/>
          <w:szCs w:val="26"/>
        </w:rPr>
      </w:pPr>
      <w:r w:rsidRPr="00BE10AE">
        <w:rPr>
          <w:rFonts w:ascii="Garamond" w:hAnsi="Garamond"/>
          <w:sz w:val="26"/>
          <w:szCs w:val="26"/>
        </w:rPr>
        <w:tab/>
        <w:t>Sure, there are plenty. What are you interested in?</w:t>
      </w:r>
    </w:p>
    <w:p w14:paraId="477FBD90" w14:textId="0E24E001" w:rsidR="006D58C8" w:rsidRPr="00BE10AE" w:rsidRDefault="006D58C8" w:rsidP="00793037">
      <w:pPr>
        <w:pStyle w:val="ListParagraph"/>
        <w:numPr>
          <w:ilvl w:val="1"/>
          <w:numId w:val="2"/>
        </w:numPr>
        <w:spacing w:line="360" w:lineRule="auto"/>
        <w:rPr>
          <w:rFonts w:ascii="Garamond" w:hAnsi="Garamond"/>
          <w:b/>
          <w:bCs/>
          <w:sz w:val="26"/>
          <w:szCs w:val="26"/>
        </w:rPr>
      </w:pPr>
      <w:r w:rsidRPr="00BE10AE">
        <w:rPr>
          <w:rFonts w:ascii="Garamond" w:hAnsi="Garamond"/>
          <w:b/>
          <w:bCs/>
          <w:sz w:val="26"/>
          <w:szCs w:val="26"/>
        </w:rPr>
        <w:t xml:space="preserve">What about </w:t>
      </w:r>
      <w:r w:rsidR="009D0310" w:rsidRPr="00BE10AE">
        <w:rPr>
          <w:rFonts w:ascii="Garamond" w:hAnsi="Garamond"/>
          <w:b/>
          <w:bCs/>
          <w:sz w:val="26"/>
          <w:szCs w:val="26"/>
        </w:rPr>
        <w:t>a</w:t>
      </w:r>
      <w:r w:rsidRPr="00BE10AE">
        <w:rPr>
          <w:rFonts w:ascii="Garamond" w:hAnsi="Garamond"/>
          <w:b/>
          <w:bCs/>
          <w:sz w:val="26"/>
          <w:szCs w:val="26"/>
        </w:rPr>
        <w:t xml:space="preserve"> trial tax?</w:t>
      </w:r>
    </w:p>
    <w:p w14:paraId="672EBD0E" w14:textId="1F4AB6AF" w:rsidR="00EF754B" w:rsidRPr="00BE10AE" w:rsidRDefault="00512355" w:rsidP="00131628">
      <w:pPr>
        <w:spacing w:line="360" w:lineRule="auto"/>
        <w:ind w:firstLine="360"/>
        <w:contextualSpacing/>
        <w:rPr>
          <w:rFonts w:ascii="Garamond" w:hAnsi="Garamond"/>
          <w:sz w:val="26"/>
          <w:szCs w:val="26"/>
        </w:rPr>
      </w:pPr>
      <w:r w:rsidRPr="00BE10AE">
        <w:rPr>
          <w:rFonts w:ascii="Garamond" w:hAnsi="Garamond"/>
          <w:sz w:val="26"/>
          <w:szCs w:val="26"/>
        </w:rPr>
        <w:tab/>
        <w:t xml:space="preserve">A trial tax is where the </w:t>
      </w:r>
      <w:r w:rsidR="008B7A86" w:rsidRPr="00BE10AE">
        <w:rPr>
          <w:rFonts w:ascii="Garamond" w:hAnsi="Garamond"/>
          <w:sz w:val="26"/>
          <w:szCs w:val="26"/>
        </w:rPr>
        <w:t>judge punish</w:t>
      </w:r>
      <w:r w:rsidR="006A5666" w:rsidRPr="00BE10AE">
        <w:rPr>
          <w:rFonts w:ascii="Garamond" w:hAnsi="Garamond"/>
          <w:sz w:val="26"/>
          <w:szCs w:val="26"/>
        </w:rPr>
        <w:t>es</w:t>
      </w:r>
      <w:r w:rsidR="008B7A86" w:rsidRPr="00BE10AE">
        <w:rPr>
          <w:rFonts w:ascii="Garamond" w:hAnsi="Garamond"/>
          <w:sz w:val="26"/>
          <w:szCs w:val="26"/>
        </w:rPr>
        <w:t xml:space="preserve"> your </w:t>
      </w:r>
      <w:r w:rsidR="006A5666" w:rsidRPr="00BE10AE">
        <w:rPr>
          <w:rFonts w:ascii="Garamond" w:hAnsi="Garamond"/>
          <w:sz w:val="26"/>
          <w:szCs w:val="26"/>
        </w:rPr>
        <w:t>client</w:t>
      </w:r>
      <w:r w:rsidR="008B7A86" w:rsidRPr="00BE10AE">
        <w:rPr>
          <w:rFonts w:ascii="Garamond" w:hAnsi="Garamond"/>
          <w:sz w:val="26"/>
          <w:szCs w:val="26"/>
        </w:rPr>
        <w:t xml:space="preserve"> for going to trial. </w:t>
      </w:r>
      <w:r w:rsidR="006A5666" w:rsidRPr="00BE10AE">
        <w:rPr>
          <w:rFonts w:ascii="Garamond" w:hAnsi="Garamond"/>
          <w:sz w:val="26"/>
          <w:szCs w:val="26"/>
        </w:rPr>
        <w:t>Your client</w:t>
      </w:r>
      <w:r w:rsidR="008B7A86" w:rsidRPr="00BE10AE">
        <w:rPr>
          <w:rFonts w:ascii="Garamond" w:hAnsi="Garamond"/>
          <w:sz w:val="26"/>
          <w:szCs w:val="26"/>
        </w:rPr>
        <w:t xml:space="preserve"> had a sweet offer before trial</w:t>
      </w:r>
      <w:r w:rsidR="00EF754B" w:rsidRPr="00BE10AE">
        <w:rPr>
          <w:rFonts w:ascii="Garamond" w:hAnsi="Garamond"/>
          <w:sz w:val="26"/>
          <w:szCs w:val="26"/>
        </w:rPr>
        <w:t xml:space="preserve">. He </w:t>
      </w:r>
      <w:r w:rsidR="008B7A86" w:rsidRPr="00BE10AE">
        <w:rPr>
          <w:rFonts w:ascii="Garamond" w:hAnsi="Garamond"/>
          <w:sz w:val="26"/>
          <w:szCs w:val="26"/>
        </w:rPr>
        <w:t xml:space="preserve">made the state waste all </w:t>
      </w:r>
      <w:r w:rsidR="00EF754B" w:rsidRPr="00BE10AE">
        <w:rPr>
          <w:rFonts w:ascii="Garamond" w:hAnsi="Garamond"/>
          <w:sz w:val="26"/>
          <w:szCs w:val="26"/>
        </w:rPr>
        <w:t>that</w:t>
      </w:r>
      <w:r w:rsidR="008B7A86" w:rsidRPr="00BE10AE">
        <w:rPr>
          <w:rFonts w:ascii="Garamond" w:hAnsi="Garamond"/>
          <w:sz w:val="26"/>
          <w:szCs w:val="26"/>
        </w:rPr>
        <w:t xml:space="preserve"> money </w:t>
      </w:r>
      <w:r w:rsidR="003B2488" w:rsidRPr="00BE10AE">
        <w:rPr>
          <w:rFonts w:ascii="Garamond" w:hAnsi="Garamond"/>
          <w:sz w:val="26"/>
          <w:szCs w:val="26"/>
        </w:rPr>
        <w:t xml:space="preserve">trying his obviously </w:t>
      </w:r>
      <w:r w:rsidR="00AC2B7F" w:rsidRPr="00BE10AE">
        <w:rPr>
          <w:rFonts w:ascii="Garamond" w:hAnsi="Garamond"/>
          <w:sz w:val="26"/>
          <w:szCs w:val="26"/>
        </w:rPr>
        <w:t>hopeless case</w:t>
      </w:r>
      <w:r w:rsidR="003B2488" w:rsidRPr="00BE10AE">
        <w:rPr>
          <w:rFonts w:ascii="Garamond" w:hAnsi="Garamond"/>
          <w:sz w:val="26"/>
          <w:szCs w:val="26"/>
        </w:rPr>
        <w:t>, and now he</w:t>
      </w:r>
      <w:r w:rsidR="00345E47" w:rsidRPr="00BE10AE">
        <w:rPr>
          <w:rFonts w:ascii="Garamond" w:hAnsi="Garamond"/>
          <w:sz w:val="26"/>
          <w:szCs w:val="26"/>
        </w:rPr>
        <w:t>’</w:t>
      </w:r>
      <w:r w:rsidR="003B2488" w:rsidRPr="00BE10AE">
        <w:rPr>
          <w:rFonts w:ascii="Garamond" w:hAnsi="Garamond"/>
          <w:sz w:val="26"/>
          <w:szCs w:val="26"/>
        </w:rPr>
        <w:t xml:space="preserve">s going to get </w:t>
      </w:r>
      <w:r w:rsidR="00F95694" w:rsidRPr="00BE10AE">
        <w:rPr>
          <w:rFonts w:ascii="Garamond" w:hAnsi="Garamond"/>
          <w:sz w:val="26"/>
          <w:szCs w:val="26"/>
        </w:rPr>
        <w:t>hammered</w:t>
      </w:r>
      <w:r w:rsidR="003B2488" w:rsidRPr="00BE10AE">
        <w:rPr>
          <w:rFonts w:ascii="Garamond" w:hAnsi="Garamond"/>
          <w:sz w:val="26"/>
          <w:szCs w:val="26"/>
        </w:rPr>
        <w:t xml:space="preserve"> for it. </w:t>
      </w:r>
    </w:p>
    <w:p w14:paraId="2BF5FF5D" w14:textId="118373EB" w:rsidR="00512355" w:rsidRPr="00BE10AE" w:rsidRDefault="00EF754B" w:rsidP="00131628">
      <w:pPr>
        <w:spacing w:line="360" w:lineRule="auto"/>
        <w:ind w:firstLine="360"/>
        <w:contextualSpacing/>
        <w:rPr>
          <w:rFonts w:ascii="Garamond" w:hAnsi="Garamond"/>
          <w:sz w:val="26"/>
          <w:szCs w:val="26"/>
          <w:shd w:val="clear" w:color="auto" w:fill="FFFFFF"/>
        </w:rPr>
      </w:pPr>
      <w:r w:rsidRPr="00BE10AE">
        <w:rPr>
          <w:rFonts w:ascii="Garamond" w:hAnsi="Garamond"/>
          <w:sz w:val="26"/>
          <w:szCs w:val="26"/>
        </w:rPr>
        <w:t>But</w:t>
      </w:r>
      <w:r w:rsidR="00524536" w:rsidRPr="00BE10AE">
        <w:rPr>
          <w:rFonts w:ascii="Garamond" w:hAnsi="Garamond"/>
          <w:sz w:val="26"/>
          <w:szCs w:val="26"/>
        </w:rPr>
        <w:t xml:space="preserve"> t</w:t>
      </w:r>
      <w:r w:rsidR="003B2488" w:rsidRPr="00BE10AE">
        <w:rPr>
          <w:rFonts w:ascii="Garamond" w:hAnsi="Garamond"/>
          <w:sz w:val="26"/>
          <w:szCs w:val="26"/>
          <w:shd w:val="clear" w:color="auto" w:fill="FFFFFF"/>
        </w:rPr>
        <w:t xml:space="preserve">o punish a person for exercising a constitutional right is </w:t>
      </w:r>
      <w:r w:rsidR="00345E47" w:rsidRPr="00BE10AE">
        <w:rPr>
          <w:rFonts w:ascii="Garamond" w:hAnsi="Garamond"/>
          <w:sz w:val="26"/>
          <w:szCs w:val="26"/>
          <w:shd w:val="clear" w:color="auto" w:fill="FFFFFF"/>
        </w:rPr>
        <w:t>“</w:t>
      </w:r>
      <w:r w:rsidR="003B2488" w:rsidRPr="00BE10AE">
        <w:rPr>
          <w:rFonts w:ascii="Garamond" w:hAnsi="Garamond"/>
          <w:sz w:val="26"/>
          <w:szCs w:val="26"/>
          <w:shd w:val="clear" w:color="auto" w:fill="FFFFFF"/>
        </w:rPr>
        <w:t>a due process violation of the most basic sort.</w:t>
      </w:r>
      <w:r w:rsidR="00345E47" w:rsidRPr="00BE10AE">
        <w:rPr>
          <w:rFonts w:ascii="Garamond" w:hAnsi="Garamond"/>
          <w:sz w:val="26"/>
          <w:szCs w:val="26"/>
          <w:shd w:val="clear" w:color="auto" w:fill="FFFFFF"/>
        </w:rPr>
        <w:t>”</w:t>
      </w:r>
      <w:r w:rsidR="003B2488" w:rsidRPr="00BE10AE">
        <w:rPr>
          <w:rFonts w:ascii="Garamond" w:hAnsi="Garamond"/>
          <w:sz w:val="26"/>
          <w:szCs w:val="26"/>
          <w:shd w:val="clear" w:color="auto" w:fill="FFFFFF"/>
        </w:rPr>
        <w:t xml:space="preserve"> (</w:t>
      </w:r>
      <w:r w:rsidR="003B2488" w:rsidRPr="00BE10AE">
        <w:rPr>
          <w:rFonts w:ascii="Garamond" w:hAnsi="Garamond"/>
          <w:i/>
          <w:iCs/>
          <w:sz w:val="26"/>
          <w:szCs w:val="26"/>
          <w:shd w:val="clear" w:color="auto" w:fill="FFFFFF"/>
        </w:rPr>
        <w:t>Bordenkircher v. Hayes</w:t>
      </w:r>
      <w:r w:rsidR="003B2488" w:rsidRPr="00BE10AE">
        <w:rPr>
          <w:rFonts w:ascii="Garamond" w:hAnsi="Garamond"/>
          <w:sz w:val="26"/>
          <w:szCs w:val="26"/>
          <w:shd w:val="clear" w:color="auto" w:fill="FFFFFF"/>
        </w:rPr>
        <w:t xml:space="preserve"> (1978) 434 U.S. 357, 363.) Consistent with this principle, the California Supreme Court held in </w:t>
      </w:r>
      <w:r w:rsidR="003B2488" w:rsidRPr="00BE10AE">
        <w:rPr>
          <w:rFonts w:ascii="Garamond" w:hAnsi="Garamond"/>
          <w:i/>
          <w:iCs/>
          <w:sz w:val="26"/>
          <w:szCs w:val="26"/>
          <w:shd w:val="clear" w:color="auto" w:fill="FFFFFF"/>
        </w:rPr>
        <w:t>In re Lewallen</w:t>
      </w:r>
      <w:r w:rsidR="003B2488" w:rsidRPr="00BE10AE">
        <w:rPr>
          <w:rFonts w:ascii="Garamond" w:hAnsi="Garamond"/>
          <w:sz w:val="26"/>
          <w:szCs w:val="26"/>
          <w:shd w:val="clear" w:color="auto" w:fill="FFFFFF"/>
        </w:rPr>
        <w:t xml:space="preserve"> (1979) 23 Cal.3d 274 that the fact a conviction is based on a not guilty plea is </w:t>
      </w:r>
      <w:r w:rsidR="00345E47" w:rsidRPr="00BE10AE">
        <w:rPr>
          <w:rFonts w:ascii="Garamond" w:hAnsi="Garamond"/>
          <w:sz w:val="26"/>
          <w:szCs w:val="26"/>
          <w:shd w:val="clear" w:color="auto" w:fill="FFFFFF"/>
        </w:rPr>
        <w:t>“</w:t>
      </w:r>
      <w:r w:rsidR="003B2488" w:rsidRPr="00BE10AE">
        <w:rPr>
          <w:rFonts w:ascii="Garamond" w:hAnsi="Garamond"/>
          <w:sz w:val="26"/>
          <w:szCs w:val="26"/>
          <w:shd w:val="clear" w:color="auto" w:fill="FFFFFF"/>
        </w:rPr>
        <w:t>completely irrelevant at sentencing; if a judge bases a sentence, or any aspect thereof, on the fact that such a plea is entered, error has been committed and the sentence cannot stand.</w:t>
      </w:r>
      <w:r w:rsidR="00345E47" w:rsidRPr="00BE10AE">
        <w:rPr>
          <w:rFonts w:ascii="Garamond" w:hAnsi="Garamond"/>
          <w:sz w:val="26"/>
          <w:szCs w:val="26"/>
          <w:shd w:val="clear" w:color="auto" w:fill="FFFFFF"/>
        </w:rPr>
        <w:t>”</w:t>
      </w:r>
      <w:r w:rsidR="003B2488" w:rsidRPr="00BE10AE">
        <w:rPr>
          <w:rFonts w:ascii="Garamond" w:hAnsi="Garamond"/>
          <w:sz w:val="26"/>
          <w:szCs w:val="26"/>
          <w:shd w:val="clear" w:color="auto" w:fill="FFFFFF"/>
        </w:rPr>
        <w:t xml:space="preserve"> (</w:t>
      </w:r>
      <w:r w:rsidR="003B2488" w:rsidRPr="00BE10AE">
        <w:rPr>
          <w:rFonts w:ascii="Garamond" w:hAnsi="Garamond"/>
          <w:i/>
          <w:iCs/>
          <w:sz w:val="26"/>
          <w:szCs w:val="26"/>
          <w:shd w:val="clear" w:color="auto" w:fill="FFFFFF"/>
        </w:rPr>
        <w:t>Id</w:t>
      </w:r>
      <w:r w:rsidR="003B2488" w:rsidRPr="00BE10AE">
        <w:rPr>
          <w:rFonts w:ascii="Garamond" w:hAnsi="Garamond"/>
          <w:sz w:val="26"/>
          <w:szCs w:val="26"/>
          <w:shd w:val="clear" w:color="auto" w:fill="FFFFFF"/>
        </w:rPr>
        <w:t xml:space="preserve">. at p. 279; </w:t>
      </w:r>
      <w:r w:rsidR="003B2488" w:rsidRPr="00BE10AE">
        <w:rPr>
          <w:rFonts w:ascii="Garamond" w:hAnsi="Garamond"/>
          <w:i/>
          <w:iCs/>
          <w:sz w:val="26"/>
          <w:szCs w:val="26"/>
          <w:shd w:val="clear" w:color="auto" w:fill="FFFFFF"/>
        </w:rPr>
        <w:t>People v. Collins</w:t>
      </w:r>
      <w:r w:rsidR="003B2488" w:rsidRPr="00BE10AE">
        <w:rPr>
          <w:rFonts w:ascii="Garamond" w:hAnsi="Garamond"/>
          <w:sz w:val="26"/>
          <w:szCs w:val="26"/>
          <w:shd w:val="clear" w:color="auto" w:fill="FFFFFF"/>
        </w:rPr>
        <w:t xml:space="preserve"> (2001) 26 Cal.4th 297, 306-307.) In sentencing the defendant in </w:t>
      </w:r>
      <w:r w:rsidR="003B2488" w:rsidRPr="00BE10AE">
        <w:rPr>
          <w:rFonts w:ascii="Garamond" w:hAnsi="Garamond"/>
          <w:i/>
          <w:iCs/>
          <w:sz w:val="26"/>
          <w:szCs w:val="26"/>
          <w:shd w:val="clear" w:color="auto" w:fill="FFFFFF"/>
        </w:rPr>
        <w:t>Llewallen</w:t>
      </w:r>
      <w:r w:rsidR="003B2488" w:rsidRPr="00BE10AE">
        <w:rPr>
          <w:rFonts w:ascii="Garamond" w:hAnsi="Garamond"/>
          <w:sz w:val="26"/>
          <w:szCs w:val="26"/>
          <w:shd w:val="clear" w:color="auto" w:fill="FFFFFF"/>
        </w:rPr>
        <w:t xml:space="preserve">, the trial court had stated: </w:t>
      </w:r>
      <w:r w:rsidR="00345E47" w:rsidRPr="00BE10AE">
        <w:rPr>
          <w:rFonts w:ascii="Garamond" w:hAnsi="Garamond"/>
          <w:sz w:val="26"/>
          <w:szCs w:val="26"/>
          <w:shd w:val="clear" w:color="auto" w:fill="FFFFFF"/>
        </w:rPr>
        <w:t>“</w:t>
      </w:r>
      <w:r w:rsidR="003B2488" w:rsidRPr="00BE10AE">
        <w:rPr>
          <w:rFonts w:ascii="Garamond" w:hAnsi="Garamond"/>
          <w:sz w:val="26"/>
          <w:szCs w:val="26"/>
          <w:shd w:val="clear" w:color="auto" w:fill="FFFFFF"/>
        </w:rPr>
        <w:t>[A]s far as I</w:t>
      </w:r>
      <w:r w:rsidR="00345E47" w:rsidRPr="00BE10AE">
        <w:rPr>
          <w:rFonts w:ascii="Garamond" w:hAnsi="Garamond"/>
          <w:sz w:val="26"/>
          <w:szCs w:val="26"/>
          <w:shd w:val="clear" w:color="auto" w:fill="FFFFFF"/>
        </w:rPr>
        <w:t>’</w:t>
      </w:r>
      <w:r w:rsidR="003B2488" w:rsidRPr="00BE10AE">
        <w:rPr>
          <w:rFonts w:ascii="Garamond" w:hAnsi="Garamond"/>
          <w:sz w:val="26"/>
          <w:szCs w:val="26"/>
          <w:shd w:val="clear" w:color="auto" w:fill="FFFFFF"/>
        </w:rPr>
        <w:t>m concerned, if a defendant wants a jury trial and he</w:t>
      </w:r>
      <w:r w:rsidR="00345E47" w:rsidRPr="00BE10AE">
        <w:rPr>
          <w:rFonts w:ascii="Garamond" w:hAnsi="Garamond"/>
          <w:sz w:val="26"/>
          <w:szCs w:val="26"/>
          <w:shd w:val="clear" w:color="auto" w:fill="FFFFFF"/>
        </w:rPr>
        <w:t>’</w:t>
      </w:r>
      <w:r w:rsidR="003B2488" w:rsidRPr="00BE10AE">
        <w:rPr>
          <w:rFonts w:ascii="Garamond" w:hAnsi="Garamond"/>
          <w:sz w:val="26"/>
          <w:szCs w:val="26"/>
          <w:shd w:val="clear" w:color="auto" w:fill="FFFFFF"/>
        </w:rPr>
        <w:t>s convicted, he</w:t>
      </w:r>
      <w:r w:rsidR="00345E47" w:rsidRPr="00BE10AE">
        <w:rPr>
          <w:rFonts w:ascii="Garamond" w:hAnsi="Garamond"/>
          <w:sz w:val="26"/>
          <w:szCs w:val="26"/>
          <w:shd w:val="clear" w:color="auto" w:fill="FFFFFF"/>
        </w:rPr>
        <w:t>’</w:t>
      </w:r>
      <w:r w:rsidR="003B2488" w:rsidRPr="00BE10AE">
        <w:rPr>
          <w:rFonts w:ascii="Garamond" w:hAnsi="Garamond"/>
          <w:sz w:val="26"/>
          <w:szCs w:val="26"/>
          <w:shd w:val="clear" w:color="auto" w:fill="FFFFFF"/>
        </w:rPr>
        <w:t>s not going to be penalized with that, but on the other hand he</w:t>
      </w:r>
      <w:r w:rsidR="00345E47" w:rsidRPr="00BE10AE">
        <w:rPr>
          <w:rFonts w:ascii="Garamond" w:hAnsi="Garamond"/>
          <w:sz w:val="26"/>
          <w:szCs w:val="26"/>
          <w:shd w:val="clear" w:color="auto" w:fill="FFFFFF"/>
        </w:rPr>
        <w:t>’</w:t>
      </w:r>
      <w:r w:rsidR="003B2488" w:rsidRPr="00BE10AE">
        <w:rPr>
          <w:rFonts w:ascii="Garamond" w:hAnsi="Garamond"/>
          <w:sz w:val="26"/>
          <w:szCs w:val="26"/>
          <w:shd w:val="clear" w:color="auto" w:fill="FFFFFF"/>
        </w:rPr>
        <w:t>s not going to have the consideration he would have had if there was a plea.</w:t>
      </w:r>
      <w:r w:rsidR="00345E47" w:rsidRPr="00BE10AE">
        <w:rPr>
          <w:rFonts w:ascii="Garamond" w:hAnsi="Garamond"/>
          <w:sz w:val="26"/>
          <w:szCs w:val="26"/>
          <w:shd w:val="clear" w:color="auto" w:fill="FFFFFF"/>
        </w:rPr>
        <w:t>”</w:t>
      </w:r>
      <w:r w:rsidR="003B2488" w:rsidRPr="00BE10AE">
        <w:rPr>
          <w:rFonts w:ascii="Garamond" w:hAnsi="Garamond"/>
          <w:sz w:val="26"/>
          <w:szCs w:val="26"/>
          <w:shd w:val="clear" w:color="auto" w:fill="FFFFFF"/>
        </w:rPr>
        <w:t xml:space="preserve"> (</w:t>
      </w:r>
      <w:r w:rsidR="003B2488" w:rsidRPr="00BE10AE">
        <w:rPr>
          <w:rFonts w:ascii="Garamond" w:hAnsi="Garamond"/>
          <w:i/>
          <w:iCs/>
          <w:sz w:val="26"/>
          <w:szCs w:val="26"/>
          <w:shd w:val="clear" w:color="auto" w:fill="FFFFFF"/>
        </w:rPr>
        <w:t>Id</w:t>
      </w:r>
      <w:r w:rsidR="003B2488" w:rsidRPr="00BE10AE">
        <w:rPr>
          <w:rFonts w:ascii="Garamond" w:hAnsi="Garamond"/>
          <w:sz w:val="26"/>
          <w:szCs w:val="26"/>
          <w:shd w:val="clear" w:color="auto" w:fill="FFFFFF"/>
        </w:rPr>
        <w:t>. at p. 277.) The Supreme Court concluded that the court had penalized the defendant for exercising his constitutional right to a jury trial, and it vacated his sentence. (</w:t>
      </w:r>
      <w:r w:rsidR="003B2488" w:rsidRPr="00BE10AE">
        <w:rPr>
          <w:rFonts w:ascii="Garamond" w:hAnsi="Garamond"/>
          <w:i/>
          <w:iCs/>
          <w:sz w:val="26"/>
          <w:szCs w:val="26"/>
          <w:shd w:val="clear" w:color="auto" w:fill="FFFFFF"/>
        </w:rPr>
        <w:t>Id</w:t>
      </w:r>
      <w:r w:rsidR="003B2488" w:rsidRPr="00BE10AE">
        <w:rPr>
          <w:rFonts w:ascii="Garamond" w:hAnsi="Garamond"/>
          <w:sz w:val="26"/>
          <w:szCs w:val="26"/>
          <w:shd w:val="clear" w:color="auto" w:fill="FFFFFF"/>
        </w:rPr>
        <w:t>. at pp. 279-281.)</w:t>
      </w:r>
    </w:p>
    <w:p w14:paraId="2E0A84BD" w14:textId="62BDE316" w:rsidR="00145D56" w:rsidRPr="00BE10AE" w:rsidRDefault="00145D56" w:rsidP="00131628">
      <w:pPr>
        <w:spacing w:line="360" w:lineRule="auto"/>
        <w:ind w:firstLine="360"/>
        <w:contextualSpacing/>
        <w:rPr>
          <w:rFonts w:ascii="Garamond" w:hAnsi="Garamond"/>
          <w:sz w:val="26"/>
          <w:szCs w:val="26"/>
          <w:shd w:val="clear" w:color="auto" w:fill="FFFFFF"/>
        </w:rPr>
      </w:pPr>
      <w:r w:rsidRPr="00BE10AE">
        <w:rPr>
          <w:rFonts w:ascii="Garamond" w:hAnsi="Garamond"/>
          <w:sz w:val="26"/>
          <w:szCs w:val="26"/>
          <w:shd w:val="clear" w:color="auto" w:fill="FFFFFF"/>
        </w:rPr>
        <w:t>But what about acceptance of responsibility?</w:t>
      </w:r>
      <w:r w:rsidR="00FF4BEC" w:rsidRPr="00BE10AE">
        <w:rPr>
          <w:rFonts w:ascii="Garamond" w:hAnsi="Garamond"/>
          <w:sz w:val="26"/>
          <w:szCs w:val="26"/>
          <w:shd w:val="clear" w:color="auto" w:fill="FFFFFF"/>
        </w:rPr>
        <w:t xml:space="preserve"> </w:t>
      </w:r>
      <w:r w:rsidR="00F95694" w:rsidRPr="00BE10AE">
        <w:rPr>
          <w:rFonts w:ascii="Garamond" w:hAnsi="Garamond"/>
          <w:sz w:val="26"/>
          <w:szCs w:val="26"/>
          <w:shd w:val="clear" w:color="auto" w:fill="FFFFFF"/>
        </w:rPr>
        <w:t>Can’t that factor into sentenc</w:t>
      </w:r>
      <w:r w:rsidR="00321639">
        <w:rPr>
          <w:rFonts w:ascii="Garamond" w:hAnsi="Garamond"/>
          <w:sz w:val="26"/>
          <w:szCs w:val="26"/>
          <w:shd w:val="clear" w:color="auto" w:fill="FFFFFF"/>
        </w:rPr>
        <w:t>ing</w:t>
      </w:r>
      <w:r w:rsidR="00F95694" w:rsidRPr="00BE10AE">
        <w:rPr>
          <w:rFonts w:ascii="Garamond" w:hAnsi="Garamond"/>
          <w:sz w:val="26"/>
          <w:szCs w:val="26"/>
          <w:shd w:val="clear" w:color="auto" w:fill="FFFFFF"/>
        </w:rPr>
        <w:t xml:space="preserve">? </w:t>
      </w:r>
      <w:r w:rsidR="00FF4BEC" w:rsidRPr="00BE10AE">
        <w:rPr>
          <w:rFonts w:ascii="Garamond" w:hAnsi="Garamond"/>
          <w:sz w:val="26"/>
          <w:szCs w:val="26"/>
          <w:shd w:val="clear" w:color="auto" w:fill="FFFFFF"/>
        </w:rPr>
        <w:t xml:space="preserve">It depends. On the one hand, California Rules of Court, rule </w:t>
      </w:r>
      <w:r w:rsidR="005240CC" w:rsidRPr="00BE10AE">
        <w:rPr>
          <w:rFonts w:ascii="Garamond" w:hAnsi="Garamond"/>
          <w:sz w:val="26"/>
          <w:szCs w:val="26"/>
          <w:shd w:val="clear" w:color="auto" w:fill="FFFFFF"/>
        </w:rPr>
        <w:t>4.423, subdivision (b)(3)</w:t>
      </w:r>
      <w:r w:rsidR="00F744D8" w:rsidRPr="00BE10AE">
        <w:rPr>
          <w:rFonts w:ascii="Garamond" w:hAnsi="Garamond"/>
          <w:sz w:val="26"/>
          <w:szCs w:val="26"/>
          <w:shd w:val="clear" w:color="auto" w:fill="FFFFFF"/>
        </w:rPr>
        <w:t xml:space="preserve"> recognizes </w:t>
      </w:r>
      <w:r w:rsidR="00FC3C8C" w:rsidRPr="00BE10AE">
        <w:rPr>
          <w:rFonts w:ascii="Garamond" w:hAnsi="Garamond"/>
          <w:sz w:val="26"/>
          <w:szCs w:val="26"/>
          <w:shd w:val="clear" w:color="auto" w:fill="FFFFFF"/>
        </w:rPr>
        <w:t xml:space="preserve">early </w:t>
      </w:r>
      <w:r w:rsidR="00F744D8" w:rsidRPr="00BE10AE">
        <w:rPr>
          <w:rFonts w:ascii="Garamond" w:hAnsi="Garamond"/>
          <w:sz w:val="26"/>
          <w:szCs w:val="26"/>
          <w:shd w:val="clear" w:color="auto" w:fill="FFFFFF"/>
        </w:rPr>
        <w:t>acknowledgment of wrongdoing as a factor in mitigation</w:t>
      </w:r>
      <w:r w:rsidR="00321639">
        <w:rPr>
          <w:rFonts w:ascii="Garamond" w:hAnsi="Garamond"/>
          <w:sz w:val="26"/>
          <w:szCs w:val="26"/>
          <w:shd w:val="clear" w:color="auto" w:fill="FFFFFF"/>
        </w:rPr>
        <w:t>, s</w:t>
      </w:r>
      <w:r w:rsidR="00287D68" w:rsidRPr="00BE10AE">
        <w:rPr>
          <w:rFonts w:ascii="Garamond" w:hAnsi="Garamond"/>
          <w:sz w:val="26"/>
          <w:szCs w:val="26"/>
          <w:shd w:val="clear" w:color="auto" w:fill="FFFFFF"/>
        </w:rPr>
        <w:t>o acceptance of responsibility</w:t>
      </w:r>
      <w:r w:rsidR="00321639">
        <w:rPr>
          <w:rFonts w:ascii="Garamond" w:hAnsi="Garamond"/>
          <w:sz w:val="26"/>
          <w:szCs w:val="26"/>
          <w:shd w:val="clear" w:color="auto" w:fill="FFFFFF"/>
        </w:rPr>
        <w:t xml:space="preserve"> obviously</w:t>
      </w:r>
      <w:r w:rsidR="00287D68" w:rsidRPr="00BE10AE">
        <w:rPr>
          <w:rFonts w:ascii="Garamond" w:hAnsi="Garamond"/>
          <w:sz w:val="26"/>
          <w:szCs w:val="26"/>
          <w:shd w:val="clear" w:color="auto" w:fill="FFFFFF"/>
        </w:rPr>
        <w:t xml:space="preserve"> can play some role in a court’s sentencing decision. But o</w:t>
      </w:r>
      <w:r w:rsidR="00F744D8" w:rsidRPr="00BE10AE">
        <w:rPr>
          <w:rFonts w:ascii="Garamond" w:hAnsi="Garamond"/>
          <w:sz w:val="26"/>
          <w:szCs w:val="26"/>
          <w:shd w:val="clear" w:color="auto" w:fill="FFFFFF"/>
        </w:rPr>
        <w:t xml:space="preserve">n other hand, </w:t>
      </w:r>
      <w:r w:rsidR="00287D68" w:rsidRPr="00BE10AE">
        <w:rPr>
          <w:rFonts w:ascii="Garamond" w:hAnsi="Garamond"/>
          <w:sz w:val="26"/>
          <w:szCs w:val="26"/>
          <w:shd w:val="clear" w:color="auto" w:fill="FFFFFF"/>
        </w:rPr>
        <w:t>in</w:t>
      </w:r>
      <w:r w:rsidR="002270A7" w:rsidRPr="00BE10AE">
        <w:rPr>
          <w:rFonts w:ascii="Garamond" w:hAnsi="Garamond"/>
          <w:sz w:val="26"/>
          <w:szCs w:val="26"/>
          <w:shd w:val="clear" w:color="auto" w:fill="FFFFFF"/>
        </w:rPr>
        <w:t xml:space="preserve"> </w:t>
      </w:r>
      <w:r w:rsidR="002270A7" w:rsidRPr="00BE10AE">
        <w:rPr>
          <w:rFonts w:ascii="Garamond" w:hAnsi="Garamond"/>
          <w:i/>
          <w:iCs/>
          <w:sz w:val="26"/>
          <w:szCs w:val="26"/>
          <w:shd w:val="clear" w:color="auto" w:fill="FFFFFF"/>
        </w:rPr>
        <w:t>People v. Avignone</w:t>
      </w:r>
      <w:r w:rsidR="001D416B" w:rsidRPr="00BE10AE">
        <w:rPr>
          <w:rFonts w:ascii="Garamond" w:hAnsi="Garamond"/>
          <w:sz w:val="26"/>
          <w:szCs w:val="26"/>
          <w:shd w:val="clear" w:color="auto" w:fill="FFFFFF"/>
        </w:rPr>
        <w:t xml:space="preserve"> (2017) 16 Cal.App.5th 1233, the court may have engaged in unlawful plea-bargaining by </w:t>
      </w:r>
      <w:r w:rsidR="00E86CD7" w:rsidRPr="00BE10AE">
        <w:rPr>
          <w:rFonts w:ascii="Garamond" w:hAnsi="Garamond"/>
          <w:sz w:val="26"/>
          <w:szCs w:val="26"/>
          <w:shd w:val="clear" w:color="auto" w:fill="FFFFFF"/>
        </w:rPr>
        <w:t xml:space="preserve">saying </w:t>
      </w:r>
      <w:r w:rsidR="00345E47" w:rsidRPr="00BE10AE">
        <w:rPr>
          <w:rFonts w:ascii="Garamond" w:hAnsi="Garamond"/>
          <w:sz w:val="26"/>
          <w:szCs w:val="26"/>
          <w:shd w:val="clear" w:color="auto" w:fill="FFFFFF"/>
        </w:rPr>
        <w:t>“</w:t>
      </w:r>
      <w:r w:rsidR="00E86CD7" w:rsidRPr="00BE10AE">
        <w:rPr>
          <w:rFonts w:ascii="Garamond" w:hAnsi="Garamond"/>
          <w:sz w:val="26"/>
          <w:szCs w:val="26"/>
          <w:shd w:val="clear" w:color="auto" w:fill="FFFFFF"/>
        </w:rPr>
        <w:t>there</w:t>
      </w:r>
      <w:r w:rsidR="00345E47" w:rsidRPr="00BE10AE">
        <w:rPr>
          <w:rFonts w:ascii="Garamond" w:hAnsi="Garamond"/>
          <w:sz w:val="26"/>
          <w:szCs w:val="26"/>
          <w:shd w:val="clear" w:color="auto" w:fill="FFFFFF"/>
        </w:rPr>
        <w:t>’</w:t>
      </w:r>
      <w:r w:rsidR="00E86CD7" w:rsidRPr="00BE10AE">
        <w:rPr>
          <w:rFonts w:ascii="Garamond" w:hAnsi="Garamond"/>
          <w:sz w:val="26"/>
          <w:szCs w:val="26"/>
          <w:shd w:val="clear" w:color="auto" w:fill="FFFFFF"/>
        </w:rPr>
        <w:t>s certainly no benefit for acceptance of responsibility if [sentencing] comes after a trial.</w:t>
      </w:r>
      <w:r w:rsidR="00345E47" w:rsidRPr="00BE10AE">
        <w:rPr>
          <w:rFonts w:ascii="Garamond" w:hAnsi="Garamond"/>
          <w:sz w:val="26"/>
          <w:szCs w:val="26"/>
          <w:shd w:val="clear" w:color="auto" w:fill="FFFFFF"/>
        </w:rPr>
        <w:t>”</w:t>
      </w:r>
      <w:r w:rsidR="00E86CD7" w:rsidRPr="00BE10AE">
        <w:rPr>
          <w:rFonts w:ascii="Garamond" w:hAnsi="Garamond"/>
          <w:sz w:val="26"/>
          <w:szCs w:val="26"/>
          <w:shd w:val="clear" w:color="auto" w:fill="FFFFFF"/>
        </w:rPr>
        <w:t xml:space="preserve"> (</w:t>
      </w:r>
      <w:r w:rsidR="001B0AE5" w:rsidRPr="00BE10AE">
        <w:rPr>
          <w:rFonts w:ascii="Garamond" w:hAnsi="Garamond"/>
          <w:i/>
          <w:iCs/>
          <w:sz w:val="26"/>
          <w:szCs w:val="26"/>
          <w:shd w:val="clear" w:color="auto" w:fill="FFFFFF"/>
        </w:rPr>
        <w:t>Id</w:t>
      </w:r>
      <w:r w:rsidR="001B0AE5" w:rsidRPr="00BE10AE">
        <w:rPr>
          <w:rFonts w:ascii="Garamond" w:hAnsi="Garamond"/>
          <w:sz w:val="26"/>
          <w:szCs w:val="26"/>
          <w:shd w:val="clear" w:color="auto" w:fill="FFFFFF"/>
        </w:rPr>
        <w:t>. at p. 1245</w:t>
      </w:r>
      <w:r w:rsidR="00793037" w:rsidRPr="00BE10AE">
        <w:rPr>
          <w:rFonts w:ascii="Garamond" w:hAnsi="Garamond"/>
          <w:sz w:val="26"/>
          <w:szCs w:val="26"/>
          <w:shd w:val="clear" w:color="auto" w:fill="FFFFFF"/>
        </w:rPr>
        <w:t>.)</w:t>
      </w:r>
      <w:r w:rsidR="00200A71" w:rsidRPr="00BE10AE">
        <w:rPr>
          <w:rFonts w:ascii="Garamond" w:hAnsi="Garamond"/>
          <w:sz w:val="26"/>
          <w:szCs w:val="26"/>
          <w:shd w:val="clear" w:color="auto" w:fill="FFFFFF"/>
        </w:rPr>
        <w:t xml:space="preserve"> If you think your client was punished for going to trial, you should look carefully at the factors the court cited in its sentencing decision. </w:t>
      </w:r>
      <w:r w:rsidR="007E5527">
        <w:rPr>
          <w:rFonts w:ascii="Garamond" w:hAnsi="Garamond"/>
          <w:sz w:val="26"/>
          <w:szCs w:val="26"/>
          <w:shd w:val="clear" w:color="auto" w:fill="FFFFFF"/>
        </w:rPr>
        <w:t>There’s</w:t>
      </w:r>
      <w:r w:rsidR="00200A71" w:rsidRPr="00BE10AE">
        <w:rPr>
          <w:rFonts w:ascii="Garamond" w:hAnsi="Garamond"/>
          <w:sz w:val="26"/>
          <w:szCs w:val="26"/>
          <w:shd w:val="clear" w:color="auto" w:fill="FFFFFF"/>
        </w:rPr>
        <w:t xml:space="preserve"> a fine line </w:t>
      </w:r>
      <w:r w:rsidR="005A2C60" w:rsidRPr="00BE10AE">
        <w:rPr>
          <w:rFonts w:ascii="Garamond" w:hAnsi="Garamond"/>
          <w:sz w:val="26"/>
          <w:szCs w:val="26"/>
          <w:shd w:val="clear" w:color="auto" w:fill="FFFFFF"/>
        </w:rPr>
        <w:t xml:space="preserve">between simply not crediting an early acceptance of responsibility and punishing your client for going to trial. </w:t>
      </w:r>
    </w:p>
    <w:p w14:paraId="13B53004" w14:textId="606C57D3" w:rsidR="00C019BA" w:rsidRPr="00BE10AE" w:rsidRDefault="00595870" w:rsidP="009F75E6">
      <w:pPr>
        <w:pStyle w:val="ListParagraph"/>
        <w:numPr>
          <w:ilvl w:val="1"/>
          <w:numId w:val="2"/>
        </w:numPr>
        <w:spacing w:line="360" w:lineRule="auto"/>
        <w:rPr>
          <w:rFonts w:ascii="Garamond" w:hAnsi="Garamond"/>
          <w:b/>
          <w:bCs/>
          <w:sz w:val="26"/>
          <w:szCs w:val="26"/>
          <w:shd w:val="clear" w:color="auto" w:fill="FFFFFF"/>
        </w:rPr>
      </w:pPr>
      <w:r w:rsidRPr="00BE10AE">
        <w:rPr>
          <w:rFonts w:ascii="Garamond" w:hAnsi="Garamond"/>
          <w:b/>
          <w:bCs/>
          <w:sz w:val="26"/>
          <w:szCs w:val="26"/>
          <w:shd w:val="clear" w:color="auto" w:fill="FFFFFF"/>
        </w:rPr>
        <w:t>Is there anything to look for in</w:t>
      </w:r>
      <w:r w:rsidR="00D94662" w:rsidRPr="00BE10AE">
        <w:rPr>
          <w:rFonts w:ascii="Garamond" w:hAnsi="Garamond"/>
          <w:b/>
          <w:bCs/>
          <w:sz w:val="26"/>
          <w:szCs w:val="26"/>
          <w:shd w:val="clear" w:color="auto" w:fill="FFFFFF"/>
        </w:rPr>
        <w:t xml:space="preserve"> a bench trial?</w:t>
      </w:r>
    </w:p>
    <w:p w14:paraId="79EB5C4F" w14:textId="6B04C5DB" w:rsidR="00D94662" w:rsidRPr="00BE10AE" w:rsidRDefault="007E5527" w:rsidP="00131628">
      <w:pPr>
        <w:spacing w:line="360" w:lineRule="auto"/>
        <w:ind w:firstLine="360"/>
        <w:contextualSpacing/>
        <w:rPr>
          <w:rFonts w:ascii="Garamond" w:hAnsi="Garamond"/>
          <w:sz w:val="26"/>
          <w:szCs w:val="26"/>
        </w:rPr>
      </w:pPr>
      <w:r>
        <w:rPr>
          <w:rFonts w:ascii="Garamond" w:hAnsi="Garamond"/>
          <w:sz w:val="26"/>
          <w:szCs w:val="26"/>
          <w:shd w:val="clear" w:color="auto" w:fill="FFFFFF"/>
        </w:rPr>
        <w:t>In</w:t>
      </w:r>
      <w:r w:rsidR="00595870" w:rsidRPr="00BE10AE">
        <w:rPr>
          <w:rFonts w:ascii="Garamond" w:hAnsi="Garamond"/>
          <w:sz w:val="26"/>
          <w:szCs w:val="26"/>
          <w:shd w:val="clear" w:color="auto" w:fill="FFFFFF"/>
        </w:rPr>
        <w:t xml:space="preserve"> a bench trial,</w:t>
      </w:r>
      <w:r w:rsidR="00D94662" w:rsidRPr="00BE10AE">
        <w:rPr>
          <w:rFonts w:ascii="Garamond" w:hAnsi="Garamond"/>
          <w:sz w:val="26"/>
          <w:szCs w:val="26"/>
          <w:shd w:val="clear" w:color="auto" w:fill="FFFFFF"/>
        </w:rPr>
        <w:t xml:space="preserve"> the judge cannot make up </w:t>
      </w:r>
      <w:r>
        <w:rPr>
          <w:rFonts w:ascii="Garamond" w:hAnsi="Garamond"/>
          <w:sz w:val="26"/>
          <w:szCs w:val="26"/>
          <w:shd w:val="clear" w:color="auto" w:fill="FFFFFF"/>
        </w:rPr>
        <w:t xml:space="preserve">his or </w:t>
      </w:r>
      <w:r w:rsidR="00D94662" w:rsidRPr="00BE10AE">
        <w:rPr>
          <w:rFonts w:ascii="Garamond" w:hAnsi="Garamond"/>
          <w:sz w:val="26"/>
          <w:szCs w:val="26"/>
          <w:shd w:val="clear" w:color="auto" w:fill="FFFFFF"/>
        </w:rPr>
        <w:t xml:space="preserve">her mind before hearing the defense case. In </w:t>
      </w:r>
      <w:r w:rsidR="00D94662" w:rsidRPr="00BE10AE">
        <w:rPr>
          <w:rFonts w:ascii="Garamond" w:hAnsi="Garamond"/>
          <w:i/>
          <w:iCs/>
          <w:sz w:val="26"/>
          <w:szCs w:val="26"/>
        </w:rPr>
        <w:t>People v. Barquera</w:t>
      </w:r>
      <w:r w:rsidR="00D94662" w:rsidRPr="00BE10AE">
        <w:rPr>
          <w:rFonts w:ascii="Garamond" w:hAnsi="Garamond"/>
          <w:sz w:val="26"/>
          <w:szCs w:val="26"/>
        </w:rPr>
        <w:t xml:space="preserve"> (1957) 154 Cal.App.2d 513</w:t>
      </w:r>
      <w:r w:rsidR="00BA7FBF" w:rsidRPr="00BE10AE">
        <w:rPr>
          <w:rFonts w:ascii="Garamond" w:hAnsi="Garamond"/>
          <w:sz w:val="26"/>
          <w:szCs w:val="26"/>
        </w:rPr>
        <w:t xml:space="preserve">, </w:t>
      </w:r>
      <w:r w:rsidR="00041033" w:rsidRPr="00BE10AE">
        <w:rPr>
          <w:rFonts w:ascii="Garamond" w:hAnsi="Garamond"/>
          <w:sz w:val="26"/>
          <w:szCs w:val="26"/>
        </w:rPr>
        <w:t xml:space="preserve">for instance, </w:t>
      </w:r>
      <w:r w:rsidR="00BA7FBF" w:rsidRPr="00BE10AE">
        <w:rPr>
          <w:rFonts w:ascii="Garamond" w:hAnsi="Garamond"/>
          <w:sz w:val="26"/>
          <w:szCs w:val="26"/>
        </w:rPr>
        <w:t xml:space="preserve">the </w:t>
      </w:r>
      <w:r w:rsidR="00511AFA" w:rsidRPr="00BE10AE">
        <w:rPr>
          <w:rFonts w:ascii="Garamond" w:hAnsi="Garamond"/>
          <w:sz w:val="26"/>
          <w:szCs w:val="26"/>
        </w:rPr>
        <w:t xml:space="preserve">matter was submitted under a stipulation that the court could rely on the transcript from the preliminary hearing but that both sides </w:t>
      </w:r>
      <w:r w:rsidR="00D61209" w:rsidRPr="00BE10AE">
        <w:rPr>
          <w:rFonts w:ascii="Garamond" w:hAnsi="Garamond"/>
          <w:sz w:val="26"/>
          <w:szCs w:val="26"/>
        </w:rPr>
        <w:t xml:space="preserve">reserved the right to </w:t>
      </w:r>
      <w:r w:rsidR="007070A2" w:rsidRPr="00BE10AE">
        <w:rPr>
          <w:rFonts w:ascii="Garamond" w:hAnsi="Garamond"/>
          <w:sz w:val="26"/>
          <w:szCs w:val="26"/>
        </w:rPr>
        <w:t xml:space="preserve">produce additional </w:t>
      </w:r>
      <w:r w:rsidR="00DB245A" w:rsidRPr="00BE10AE">
        <w:rPr>
          <w:rFonts w:ascii="Garamond" w:hAnsi="Garamond"/>
          <w:sz w:val="26"/>
          <w:szCs w:val="26"/>
        </w:rPr>
        <w:t xml:space="preserve">evidence. </w:t>
      </w:r>
      <w:r w:rsidR="00793B54" w:rsidRPr="00BE10AE">
        <w:rPr>
          <w:rFonts w:ascii="Garamond" w:hAnsi="Garamond"/>
          <w:sz w:val="26"/>
          <w:szCs w:val="26"/>
        </w:rPr>
        <w:t>(</w:t>
      </w:r>
      <w:r w:rsidR="00B71892">
        <w:rPr>
          <w:rFonts w:ascii="Garamond" w:hAnsi="Garamond"/>
          <w:i/>
          <w:iCs/>
          <w:sz w:val="26"/>
          <w:szCs w:val="26"/>
        </w:rPr>
        <w:t>Id</w:t>
      </w:r>
      <w:r w:rsidR="00B71892">
        <w:rPr>
          <w:rFonts w:ascii="Garamond" w:hAnsi="Garamond"/>
          <w:sz w:val="26"/>
          <w:szCs w:val="26"/>
        </w:rPr>
        <w:t>. at p. 515</w:t>
      </w:r>
      <w:r w:rsidR="00793B54" w:rsidRPr="00BE10AE">
        <w:rPr>
          <w:rFonts w:ascii="Garamond" w:hAnsi="Garamond"/>
          <w:sz w:val="26"/>
          <w:szCs w:val="26"/>
        </w:rPr>
        <w:t xml:space="preserve">.) </w:t>
      </w:r>
      <w:r w:rsidR="00DB245A" w:rsidRPr="00BE10AE">
        <w:rPr>
          <w:rFonts w:ascii="Garamond" w:hAnsi="Garamond"/>
          <w:sz w:val="26"/>
          <w:szCs w:val="26"/>
        </w:rPr>
        <w:t xml:space="preserve">The court repeatedly said the defendant had no defense at all and told defense counsel, </w:t>
      </w:r>
      <w:r w:rsidR="00345E47" w:rsidRPr="00BE10AE">
        <w:rPr>
          <w:rFonts w:ascii="Garamond" w:hAnsi="Garamond"/>
          <w:sz w:val="26"/>
          <w:szCs w:val="26"/>
        </w:rPr>
        <w:t>“</w:t>
      </w:r>
      <w:r w:rsidR="00DB245A" w:rsidRPr="00BE10AE">
        <w:rPr>
          <w:rFonts w:ascii="Garamond" w:hAnsi="Garamond"/>
          <w:sz w:val="26"/>
          <w:szCs w:val="26"/>
        </w:rPr>
        <w:t>I don</w:t>
      </w:r>
      <w:r w:rsidR="00345E47" w:rsidRPr="00BE10AE">
        <w:rPr>
          <w:rFonts w:ascii="Garamond" w:hAnsi="Garamond"/>
          <w:sz w:val="26"/>
          <w:szCs w:val="26"/>
        </w:rPr>
        <w:t>’</w:t>
      </w:r>
      <w:r w:rsidR="00DB245A" w:rsidRPr="00BE10AE">
        <w:rPr>
          <w:rFonts w:ascii="Garamond" w:hAnsi="Garamond"/>
          <w:sz w:val="26"/>
          <w:szCs w:val="26"/>
        </w:rPr>
        <w:t xml:space="preserve">t have to </w:t>
      </w:r>
      <w:r w:rsidR="00994C7D" w:rsidRPr="00BE10AE">
        <w:rPr>
          <w:rFonts w:ascii="Garamond" w:hAnsi="Garamond"/>
          <w:sz w:val="26"/>
          <w:szCs w:val="26"/>
        </w:rPr>
        <w:t xml:space="preserve">let you </w:t>
      </w:r>
      <w:r w:rsidR="008856D5" w:rsidRPr="00BE10AE">
        <w:rPr>
          <w:rFonts w:ascii="Garamond" w:hAnsi="Garamond"/>
          <w:sz w:val="26"/>
          <w:szCs w:val="26"/>
        </w:rPr>
        <w:t>offer</w:t>
      </w:r>
      <w:r w:rsidR="00994C7D" w:rsidRPr="00BE10AE">
        <w:rPr>
          <w:rFonts w:ascii="Garamond" w:hAnsi="Garamond"/>
          <w:sz w:val="26"/>
          <w:szCs w:val="26"/>
        </w:rPr>
        <w:t xml:space="preserve"> any </w:t>
      </w:r>
      <w:r w:rsidR="008856D5" w:rsidRPr="00BE10AE">
        <w:rPr>
          <w:rFonts w:ascii="Garamond" w:hAnsi="Garamond"/>
          <w:sz w:val="26"/>
          <w:szCs w:val="26"/>
        </w:rPr>
        <w:t xml:space="preserve">[defense </w:t>
      </w:r>
      <w:r w:rsidR="00994C7D" w:rsidRPr="00BE10AE">
        <w:rPr>
          <w:rFonts w:ascii="Garamond" w:hAnsi="Garamond"/>
          <w:sz w:val="26"/>
          <w:szCs w:val="26"/>
        </w:rPr>
        <w:t>evidence</w:t>
      </w:r>
      <w:r w:rsidR="008856D5" w:rsidRPr="00BE10AE">
        <w:rPr>
          <w:rFonts w:ascii="Garamond" w:hAnsi="Garamond"/>
          <w:sz w:val="26"/>
          <w:szCs w:val="26"/>
        </w:rPr>
        <w:t>]</w:t>
      </w:r>
      <w:r w:rsidR="00994C7D" w:rsidRPr="00BE10AE">
        <w:rPr>
          <w:rFonts w:ascii="Garamond" w:hAnsi="Garamond"/>
          <w:sz w:val="26"/>
          <w:szCs w:val="26"/>
        </w:rPr>
        <w:t>.</w:t>
      </w:r>
      <w:r w:rsidR="00345E47" w:rsidRPr="00BE10AE">
        <w:rPr>
          <w:rFonts w:ascii="Garamond" w:hAnsi="Garamond"/>
          <w:sz w:val="26"/>
          <w:szCs w:val="26"/>
        </w:rPr>
        <w:t>”</w:t>
      </w:r>
      <w:r w:rsidR="00994C7D" w:rsidRPr="00BE10AE">
        <w:rPr>
          <w:rFonts w:ascii="Garamond" w:hAnsi="Garamond"/>
          <w:sz w:val="26"/>
          <w:szCs w:val="26"/>
        </w:rPr>
        <w:t xml:space="preserve"> </w:t>
      </w:r>
      <w:r w:rsidR="0020438E" w:rsidRPr="00BE10AE">
        <w:rPr>
          <w:rFonts w:ascii="Garamond" w:hAnsi="Garamond"/>
          <w:sz w:val="26"/>
          <w:szCs w:val="26"/>
        </w:rPr>
        <w:t>(</w:t>
      </w:r>
      <w:r w:rsidR="0020438E" w:rsidRPr="00BE10AE">
        <w:rPr>
          <w:rFonts w:ascii="Garamond" w:hAnsi="Garamond"/>
          <w:i/>
          <w:iCs/>
          <w:sz w:val="26"/>
          <w:szCs w:val="26"/>
        </w:rPr>
        <w:t>Id</w:t>
      </w:r>
      <w:r w:rsidR="0020438E" w:rsidRPr="00BE10AE">
        <w:rPr>
          <w:rFonts w:ascii="Garamond" w:hAnsi="Garamond"/>
          <w:sz w:val="26"/>
          <w:szCs w:val="26"/>
        </w:rPr>
        <w:t xml:space="preserve">. at p. 517.) </w:t>
      </w:r>
      <w:r w:rsidR="00994C7D" w:rsidRPr="00BE10AE">
        <w:rPr>
          <w:rFonts w:ascii="Garamond" w:hAnsi="Garamond"/>
          <w:sz w:val="26"/>
          <w:szCs w:val="26"/>
        </w:rPr>
        <w:t xml:space="preserve">This was improper. </w:t>
      </w:r>
      <w:r w:rsidR="00345E47" w:rsidRPr="00BE10AE">
        <w:rPr>
          <w:rFonts w:ascii="Garamond" w:hAnsi="Garamond"/>
          <w:sz w:val="26"/>
          <w:szCs w:val="26"/>
        </w:rPr>
        <w:t>“</w:t>
      </w:r>
      <w:r w:rsidR="00307E09" w:rsidRPr="00BE10AE">
        <w:rPr>
          <w:rFonts w:ascii="Garamond" w:hAnsi="Garamond"/>
          <w:sz w:val="26"/>
          <w:szCs w:val="26"/>
        </w:rPr>
        <w:t>When a judge becomes a trier of fact as well as of the law, the defendant is entitled to the same presumption of innocence and the same right to present a defense that he would have if he were being tried by a jury.</w:t>
      </w:r>
      <w:r w:rsidR="00345E47" w:rsidRPr="00BE10AE">
        <w:rPr>
          <w:rFonts w:ascii="Garamond" w:hAnsi="Garamond"/>
          <w:sz w:val="26"/>
          <w:szCs w:val="26"/>
        </w:rPr>
        <w:t>”</w:t>
      </w:r>
      <w:r w:rsidR="0020438E" w:rsidRPr="00BE10AE">
        <w:rPr>
          <w:rFonts w:ascii="Garamond" w:hAnsi="Garamond"/>
          <w:sz w:val="26"/>
          <w:szCs w:val="26"/>
        </w:rPr>
        <w:t xml:space="preserve"> (</w:t>
      </w:r>
      <w:r w:rsidR="0020438E" w:rsidRPr="00BE10AE">
        <w:rPr>
          <w:rFonts w:ascii="Garamond" w:hAnsi="Garamond"/>
          <w:i/>
          <w:iCs/>
          <w:sz w:val="26"/>
          <w:szCs w:val="26"/>
        </w:rPr>
        <w:t>Id</w:t>
      </w:r>
      <w:r w:rsidR="0020438E" w:rsidRPr="00BE10AE">
        <w:rPr>
          <w:rFonts w:ascii="Garamond" w:hAnsi="Garamond"/>
          <w:sz w:val="26"/>
          <w:szCs w:val="26"/>
        </w:rPr>
        <w:t xml:space="preserve">. at p. 519.) </w:t>
      </w:r>
    </w:p>
    <w:p w14:paraId="5956C6A1" w14:textId="7A7A812A" w:rsidR="00307E09" w:rsidRPr="00BE10AE" w:rsidRDefault="00307E09" w:rsidP="008704FE">
      <w:pPr>
        <w:pStyle w:val="ListParagraph"/>
        <w:numPr>
          <w:ilvl w:val="1"/>
          <w:numId w:val="2"/>
        </w:numPr>
        <w:spacing w:line="360" w:lineRule="auto"/>
        <w:rPr>
          <w:rFonts w:ascii="Garamond" w:hAnsi="Garamond"/>
          <w:b/>
          <w:bCs/>
          <w:sz w:val="26"/>
          <w:szCs w:val="26"/>
        </w:rPr>
      </w:pPr>
      <w:r w:rsidRPr="00BE10AE">
        <w:rPr>
          <w:rFonts w:ascii="Garamond" w:hAnsi="Garamond"/>
          <w:b/>
          <w:bCs/>
          <w:sz w:val="26"/>
          <w:szCs w:val="26"/>
        </w:rPr>
        <w:t xml:space="preserve">Can </w:t>
      </w:r>
      <w:r w:rsidR="008016E0">
        <w:rPr>
          <w:rFonts w:ascii="Garamond" w:hAnsi="Garamond"/>
          <w:b/>
          <w:bCs/>
          <w:sz w:val="26"/>
          <w:szCs w:val="26"/>
        </w:rPr>
        <w:t>a</w:t>
      </w:r>
      <w:r w:rsidRPr="00BE10AE">
        <w:rPr>
          <w:rFonts w:ascii="Garamond" w:hAnsi="Garamond"/>
          <w:b/>
          <w:bCs/>
          <w:sz w:val="26"/>
          <w:szCs w:val="26"/>
        </w:rPr>
        <w:t xml:space="preserve"> </w:t>
      </w:r>
      <w:r w:rsidR="0020438E" w:rsidRPr="00BE10AE">
        <w:rPr>
          <w:rFonts w:ascii="Garamond" w:hAnsi="Garamond"/>
          <w:b/>
          <w:bCs/>
          <w:sz w:val="26"/>
          <w:szCs w:val="26"/>
        </w:rPr>
        <w:t xml:space="preserve">trial </w:t>
      </w:r>
      <w:r w:rsidRPr="00BE10AE">
        <w:rPr>
          <w:rFonts w:ascii="Garamond" w:hAnsi="Garamond"/>
          <w:b/>
          <w:bCs/>
          <w:sz w:val="26"/>
          <w:szCs w:val="26"/>
        </w:rPr>
        <w:t xml:space="preserve">judge present evidence at </w:t>
      </w:r>
      <w:r w:rsidR="008016E0">
        <w:rPr>
          <w:rFonts w:ascii="Garamond" w:hAnsi="Garamond"/>
          <w:b/>
          <w:bCs/>
          <w:sz w:val="26"/>
          <w:szCs w:val="26"/>
        </w:rPr>
        <w:t>a</w:t>
      </w:r>
      <w:r w:rsidRPr="00BE10AE">
        <w:rPr>
          <w:rFonts w:ascii="Garamond" w:hAnsi="Garamond"/>
          <w:b/>
          <w:bCs/>
          <w:sz w:val="26"/>
          <w:szCs w:val="26"/>
        </w:rPr>
        <w:t xml:space="preserve"> trial?</w:t>
      </w:r>
    </w:p>
    <w:p w14:paraId="2793784D" w14:textId="125825CC" w:rsidR="00307E09" w:rsidRPr="00BE10AE" w:rsidRDefault="00307E09" w:rsidP="00131628">
      <w:pPr>
        <w:spacing w:line="360" w:lineRule="auto"/>
        <w:ind w:firstLine="360"/>
        <w:contextualSpacing/>
        <w:rPr>
          <w:rFonts w:ascii="Garamond" w:hAnsi="Garamond"/>
          <w:sz w:val="26"/>
          <w:szCs w:val="26"/>
        </w:rPr>
      </w:pPr>
      <w:r w:rsidRPr="00BE10AE">
        <w:rPr>
          <w:rFonts w:ascii="Garamond" w:hAnsi="Garamond"/>
          <w:sz w:val="26"/>
          <w:szCs w:val="26"/>
        </w:rPr>
        <w:t xml:space="preserve">Sort of? </w:t>
      </w:r>
      <w:r w:rsidR="00345E47" w:rsidRPr="00BE10AE">
        <w:rPr>
          <w:rFonts w:ascii="Garamond" w:hAnsi="Garamond"/>
          <w:sz w:val="26"/>
          <w:szCs w:val="26"/>
        </w:rPr>
        <w:t>“</w:t>
      </w:r>
      <w:r w:rsidR="002D31F3" w:rsidRPr="00BE10AE">
        <w:rPr>
          <w:rFonts w:ascii="Garamond" w:hAnsi="Garamond"/>
          <w:sz w:val="26"/>
          <w:szCs w:val="26"/>
        </w:rPr>
        <w:t>The right, and even the duty, of a trial court to call its own witnesses and to ask questions of witnesses has been repeatedly sanctioned both by legislative and court action as a fundamental component of our judicial system.</w:t>
      </w:r>
      <w:r w:rsidR="00345E47" w:rsidRPr="00BE10AE">
        <w:rPr>
          <w:rFonts w:ascii="Garamond" w:hAnsi="Garamond"/>
          <w:sz w:val="26"/>
          <w:szCs w:val="26"/>
        </w:rPr>
        <w:t>”</w:t>
      </w:r>
      <w:r w:rsidR="001F61AF" w:rsidRPr="00BE10AE">
        <w:rPr>
          <w:rFonts w:ascii="Garamond" w:hAnsi="Garamond"/>
          <w:sz w:val="26"/>
          <w:szCs w:val="26"/>
        </w:rPr>
        <w:t xml:space="preserve"> (</w:t>
      </w:r>
      <w:r w:rsidR="001F61AF" w:rsidRPr="00BE10AE">
        <w:rPr>
          <w:rFonts w:ascii="Garamond" w:hAnsi="Garamond"/>
          <w:i/>
          <w:iCs/>
          <w:sz w:val="26"/>
          <w:szCs w:val="26"/>
        </w:rPr>
        <w:t>People v. Handcock</w:t>
      </w:r>
      <w:r w:rsidR="001F61AF" w:rsidRPr="00BE10AE">
        <w:rPr>
          <w:rFonts w:ascii="Garamond" w:hAnsi="Garamond"/>
          <w:sz w:val="26"/>
          <w:szCs w:val="26"/>
        </w:rPr>
        <w:t xml:space="preserve"> (1983) 145 Cal.App.3d Supp. 25, 29.) </w:t>
      </w:r>
      <w:r w:rsidR="00345E47" w:rsidRPr="00BE10AE">
        <w:rPr>
          <w:rFonts w:ascii="Garamond" w:hAnsi="Garamond"/>
          <w:sz w:val="26"/>
          <w:szCs w:val="26"/>
        </w:rPr>
        <w:t>“</w:t>
      </w:r>
      <w:r w:rsidR="00520954" w:rsidRPr="00BE10AE">
        <w:rPr>
          <w:rFonts w:ascii="Garamond" w:hAnsi="Garamond"/>
          <w:sz w:val="26"/>
          <w:szCs w:val="26"/>
        </w:rPr>
        <w:t>The right to call and question witnesses, however, is not unlimited, nor subject only to the whim or caprice of the trial judge. Extreme care must be observed by the court so as not to shift the balance of the case either for or against a party, merely because of the manner in which the court participates in the presentation of evidence.</w:t>
      </w:r>
      <w:r w:rsidR="00345E47" w:rsidRPr="00BE10AE">
        <w:rPr>
          <w:rFonts w:ascii="Garamond" w:hAnsi="Garamond"/>
          <w:sz w:val="26"/>
          <w:szCs w:val="26"/>
        </w:rPr>
        <w:t>”</w:t>
      </w:r>
      <w:r w:rsidR="00780192" w:rsidRPr="00BE10AE">
        <w:rPr>
          <w:rFonts w:ascii="Garamond" w:hAnsi="Garamond"/>
          <w:sz w:val="26"/>
          <w:szCs w:val="26"/>
        </w:rPr>
        <w:t xml:space="preserve"> </w:t>
      </w:r>
      <w:r w:rsidR="00AA7F54" w:rsidRPr="00BE10AE">
        <w:rPr>
          <w:rFonts w:ascii="Garamond" w:hAnsi="Garamond"/>
          <w:sz w:val="26"/>
          <w:szCs w:val="26"/>
        </w:rPr>
        <w:t>(</w:t>
      </w:r>
      <w:r w:rsidR="00AA7F54" w:rsidRPr="00BE10AE">
        <w:rPr>
          <w:rFonts w:ascii="Garamond" w:hAnsi="Garamond"/>
          <w:i/>
          <w:iCs/>
          <w:sz w:val="26"/>
          <w:szCs w:val="26"/>
        </w:rPr>
        <w:t>Ibid</w:t>
      </w:r>
      <w:r w:rsidR="00AA7F54" w:rsidRPr="00BE10AE">
        <w:rPr>
          <w:rFonts w:ascii="Garamond" w:hAnsi="Garamond"/>
          <w:sz w:val="26"/>
          <w:szCs w:val="26"/>
        </w:rPr>
        <w:t xml:space="preserve">.) </w:t>
      </w:r>
      <w:r w:rsidR="001D50AE" w:rsidRPr="00BE10AE">
        <w:rPr>
          <w:rFonts w:ascii="Garamond" w:hAnsi="Garamond"/>
          <w:sz w:val="26"/>
          <w:szCs w:val="26"/>
        </w:rPr>
        <w:t xml:space="preserve">In </w:t>
      </w:r>
      <w:r w:rsidR="001D50AE" w:rsidRPr="00BE10AE">
        <w:rPr>
          <w:rFonts w:ascii="Garamond" w:hAnsi="Garamond"/>
          <w:i/>
          <w:iCs/>
          <w:sz w:val="26"/>
          <w:szCs w:val="26"/>
        </w:rPr>
        <w:t>Handcock</w:t>
      </w:r>
      <w:r w:rsidR="00780192" w:rsidRPr="00BE10AE">
        <w:rPr>
          <w:rFonts w:ascii="Garamond" w:hAnsi="Garamond"/>
          <w:sz w:val="26"/>
          <w:szCs w:val="26"/>
        </w:rPr>
        <w:t xml:space="preserve">, the court went too far. </w:t>
      </w:r>
      <w:r w:rsidR="00350762" w:rsidRPr="00BE10AE">
        <w:rPr>
          <w:rFonts w:ascii="Garamond" w:hAnsi="Garamond"/>
          <w:sz w:val="26"/>
          <w:szCs w:val="26"/>
        </w:rPr>
        <w:t>(</w:t>
      </w:r>
      <w:r w:rsidR="00350762" w:rsidRPr="00BE10AE">
        <w:rPr>
          <w:rFonts w:ascii="Garamond" w:hAnsi="Garamond"/>
          <w:i/>
          <w:iCs/>
          <w:sz w:val="26"/>
          <w:szCs w:val="26"/>
        </w:rPr>
        <w:t>Ibid</w:t>
      </w:r>
      <w:r w:rsidR="00350762" w:rsidRPr="00BE10AE">
        <w:rPr>
          <w:rFonts w:ascii="Garamond" w:hAnsi="Garamond"/>
          <w:sz w:val="26"/>
          <w:szCs w:val="26"/>
        </w:rPr>
        <w:t xml:space="preserve">.) </w:t>
      </w:r>
      <w:r w:rsidR="00780192" w:rsidRPr="00BE10AE">
        <w:rPr>
          <w:rFonts w:ascii="Garamond" w:hAnsi="Garamond"/>
          <w:sz w:val="26"/>
          <w:szCs w:val="26"/>
        </w:rPr>
        <w:t xml:space="preserve">The defendant was </w:t>
      </w:r>
      <w:r w:rsidR="00BB5079" w:rsidRPr="00BE10AE">
        <w:rPr>
          <w:rFonts w:ascii="Garamond" w:hAnsi="Garamond"/>
          <w:sz w:val="26"/>
          <w:szCs w:val="26"/>
        </w:rPr>
        <w:t xml:space="preserve">literally </w:t>
      </w:r>
      <w:r w:rsidR="00780192" w:rsidRPr="00BE10AE">
        <w:rPr>
          <w:rFonts w:ascii="Garamond" w:hAnsi="Garamond"/>
          <w:sz w:val="26"/>
          <w:szCs w:val="26"/>
        </w:rPr>
        <w:t xml:space="preserve">on the stand when the judge started calling his own witnesses. </w:t>
      </w:r>
      <w:r w:rsidR="00350762" w:rsidRPr="00BE10AE">
        <w:rPr>
          <w:rFonts w:ascii="Garamond" w:hAnsi="Garamond"/>
          <w:sz w:val="26"/>
          <w:szCs w:val="26"/>
        </w:rPr>
        <w:t>(</w:t>
      </w:r>
      <w:r w:rsidR="00350762" w:rsidRPr="00BE10AE">
        <w:rPr>
          <w:rFonts w:ascii="Garamond" w:hAnsi="Garamond"/>
          <w:i/>
          <w:iCs/>
          <w:sz w:val="26"/>
          <w:szCs w:val="26"/>
        </w:rPr>
        <w:t>Id</w:t>
      </w:r>
      <w:r w:rsidR="00350762" w:rsidRPr="00BE10AE">
        <w:rPr>
          <w:rFonts w:ascii="Garamond" w:hAnsi="Garamond"/>
          <w:sz w:val="26"/>
          <w:szCs w:val="26"/>
        </w:rPr>
        <w:t xml:space="preserve">. at p. 31.) </w:t>
      </w:r>
      <w:r w:rsidR="00BB5079" w:rsidRPr="00BE10AE">
        <w:rPr>
          <w:rFonts w:ascii="Garamond" w:hAnsi="Garamond"/>
          <w:sz w:val="26"/>
          <w:szCs w:val="26"/>
        </w:rPr>
        <w:t>The judge also had given no notice to either side that he intended to present his own evidence</w:t>
      </w:r>
      <w:r w:rsidR="00F529A3" w:rsidRPr="00BE10AE">
        <w:rPr>
          <w:rFonts w:ascii="Garamond" w:hAnsi="Garamond"/>
          <w:sz w:val="26"/>
          <w:szCs w:val="26"/>
        </w:rPr>
        <w:t xml:space="preserve"> or that he had done his own investigation</w:t>
      </w:r>
      <w:r w:rsidR="00BB5079" w:rsidRPr="00BE10AE">
        <w:rPr>
          <w:rFonts w:ascii="Garamond" w:hAnsi="Garamond"/>
          <w:sz w:val="26"/>
          <w:szCs w:val="26"/>
        </w:rPr>
        <w:t>.</w:t>
      </w:r>
      <w:r w:rsidR="00350762" w:rsidRPr="00BE10AE">
        <w:rPr>
          <w:rFonts w:ascii="Garamond" w:hAnsi="Garamond"/>
          <w:sz w:val="26"/>
          <w:szCs w:val="26"/>
        </w:rPr>
        <w:t xml:space="preserve"> (</w:t>
      </w:r>
      <w:r w:rsidR="00350762" w:rsidRPr="00BE10AE">
        <w:rPr>
          <w:rFonts w:ascii="Garamond" w:hAnsi="Garamond"/>
          <w:i/>
          <w:iCs/>
          <w:sz w:val="26"/>
          <w:szCs w:val="26"/>
        </w:rPr>
        <w:t>Ibid</w:t>
      </w:r>
      <w:r w:rsidR="00350762" w:rsidRPr="00BE10AE">
        <w:rPr>
          <w:rFonts w:ascii="Garamond" w:hAnsi="Garamond"/>
          <w:sz w:val="26"/>
          <w:szCs w:val="26"/>
        </w:rPr>
        <w:t>.)</w:t>
      </w:r>
      <w:r w:rsidR="007D32BB" w:rsidRPr="00BE10AE">
        <w:rPr>
          <w:rFonts w:ascii="Garamond" w:hAnsi="Garamond"/>
          <w:sz w:val="26"/>
          <w:szCs w:val="26"/>
        </w:rPr>
        <w:t xml:space="preserve"> “Unilateral investigation by a trial court, although consistent with the role of an advocate, appears contrary to the primary responsibilities of a neutral judicial officer, and, once started, invites abuse.” (</w:t>
      </w:r>
      <w:r w:rsidR="007D32BB" w:rsidRPr="00BE10AE">
        <w:rPr>
          <w:rFonts w:ascii="Garamond" w:hAnsi="Garamond"/>
          <w:i/>
          <w:iCs/>
          <w:sz w:val="26"/>
          <w:szCs w:val="26"/>
        </w:rPr>
        <w:t>Id</w:t>
      </w:r>
      <w:r w:rsidR="007D32BB" w:rsidRPr="00BE10AE">
        <w:rPr>
          <w:rFonts w:ascii="Garamond" w:hAnsi="Garamond"/>
          <w:sz w:val="26"/>
          <w:szCs w:val="26"/>
        </w:rPr>
        <w:t xml:space="preserve">. at p. 32.) </w:t>
      </w:r>
    </w:p>
    <w:p w14:paraId="6330EDF5" w14:textId="54F71EAA" w:rsidR="00691A49" w:rsidRPr="00BE10AE" w:rsidRDefault="00691A49" w:rsidP="00F8712B">
      <w:pPr>
        <w:pStyle w:val="ListParagraph"/>
        <w:numPr>
          <w:ilvl w:val="1"/>
          <w:numId w:val="2"/>
        </w:numPr>
        <w:spacing w:line="360" w:lineRule="auto"/>
        <w:rPr>
          <w:rFonts w:ascii="Garamond" w:hAnsi="Garamond"/>
          <w:b/>
          <w:bCs/>
          <w:sz w:val="26"/>
          <w:szCs w:val="26"/>
        </w:rPr>
      </w:pPr>
      <w:r w:rsidRPr="00BE10AE">
        <w:rPr>
          <w:rFonts w:ascii="Garamond" w:hAnsi="Garamond"/>
          <w:b/>
          <w:bCs/>
          <w:sz w:val="26"/>
          <w:szCs w:val="26"/>
        </w:rPr>
        <w:t>What about interfering with the attorney-client relationship?</w:t>
      </w:r>
    </w:p>
    <w:p w14:paraId="4CDD6E11" w14:textId="40F5E472" w:rsidR="001274D9" w:rsidRPr="00BE10AE" w:rsidRDefault="00691A49" w:rsidP="00131628">
      <w:pPr>
        <w:spacing w:line="360" w:lineRule="auto"/>
        <w:ind w:firstLine="360"/>
        <w:contextualSpacing/>
        <w:rPr>
          <w:rFonts w:ascii="Garamond" w:hAnsi="Garamond"/>
          <w:sz w:val="26"/>
          <w:szCs w:val="26"/>
        </w:rPr>
      </w:pPr>
      <w:r w:rsidRPr="00BE10AE">
        <w:rPr>
          <w:rFonts w:ascii="Garamond" w:hAnsi="Garamond"/>
          <w:sz w:val="26"/>
          <w:szCs w:val="26"/>
        </w:rPr>
        <w:t>Judges shouldn</w:t>
      </w:r>
      <w:r w:rsidR="00345E47" w:rsidRPr="00BE10AE">
        <w:rPr>
          <w:rFonts w:ascii="Garamond" w:hAnsi="Garamond"/>
          <w:sz w:val="26"/>
          <w:szCs w:val="26"/>
        </w:rPr>
        <w:t>’</w:t>
      </w:r>
      <w:r w:rsidRPr="00BE10AE">
        <w:rPr>
          <w:rFonts w:ascii="Garamond" w:hAnsi="Garamond"/>
          <w:sz w:val="26"/>
          <w:szCs w:val="26"/>
        </w:rPr>
        <w:t>t do it!</w:t>
      </w:r>
      <w:r w:rsidR="00913E84" w:rsidRPr="00BE10AE">
        <w:rPr>
          <w:rFonts w:ascii="Garamond" w:hAnsi="Garamond"/>
          <w:sz w:val="26"/>
          <w:szCs w:val="26"/>
        </w:rPr>
        <w:t xml:space="preserve"> While courts </w:t>
      </w:r>
      <w:r w:rsidR="00B55D88" w:rsidRPr="00BE10AE">
        <w:rPr>
          <w:rFonts w:ascii="Garamond" w:hAnsi="Garamond"/>
          <w:sz w:val="26"/>
          <w:szCs w:val="26"/>
        </w:rPr>
        <w:t>may (and perhaps at times must) remove incompetent counsel (</w:t>
      </w:r>
      <w:r w:rsidR="00B55D88" w:rsidRPr="00BE10AE">
        <w:rPr>
          <w:rFonts w:ascii="Garamond" w:hAnsi="Garamond"/>
          <w:i/>
          <w:iCs/>
          <w:sz w:val="26"/>
          <w:szCs w:val="26"/>
        </w:rPr>
        <w:t>Magana v. Superior Court</w:t>
      </w:r>
      <w:r w:rsidR="00B55D88" w:rsidRPr="00BE10AE">
        <w:rPr>
          <w:rFonts w:ascii="Garamond" w:hAnsi="Garamond"/>
          <w:sz w:val="26"/>
          <w:szCs w:val="26"/>
        </w:rPr>
        <w:t xml:space="preserve"> (</w:t>
      </w:r>
      <w:r w:rsidR="00107587" w:rsidRPr="00BE10AE">
        <w:rPr>
          <w:rFonts w:ascii="Garamond" w:hAnsi="Garamond"/>
          <w:sz w:val="26"/>
          <w:szCs w:val="26"/>
        </w:rPr>
        <w:t>2018)</w:t>
      </w:r>
      <w:r w:rsidR="00B55D88" w:rsidRPr="00BE10AE">
        <w:rPr>
          <w:rFonts w:ascii="Garamond" w:hAnsi="Garamond"/>
          <w:sz w:val="26"/>
          <w:szCs w:val="26"/>
        </w:rPr>
        <w:t xml:space="preserve"> 22 Cal.App.5th 840</w:t>
      </w:r>
      <w:r w:rsidR="00107587" w:rsidRPr="00BE10AE">
        <w:rPr>
          <w:rFonts w:ascii="Garamond" w:hAnsi="Garamond"/>
          <w:sz w:val="26"/>
          <w:szCs w:val="26"/>
        </w:rPr>
        <w:t xml:space="preserve">, 863), </w:t>
      </w:r>
      <w:r w:rsidR="00B82D92" w:rsidRPr="00BE10AE">
        <w:rPr>
          <w:rFonts w:ascii="Garamond" w:hAnsi="Garamond"/>
          <w:sz w:val="26"/>
          <w:szCs w:val="26"/>
        </w:rPr>
        <w:t>criminal defendants have a constitutional right to choose their own counsel</w:t>
      </w:r>
      <w:r w:rsidR="009F2D87" w:rsidRPr="00BE10AE">
        <w:rPr>
          <w:rFonts w:ascii="Garamond" w:hAnsi="Garamond"/>
          <w:sz w:val="26"/>
          <w:szCs w:val="26"/>
        </w:rPr>
        <w:t>, and the courts must be careful not to infringe of the independence of the defense bar</w:t>
      </w:r>
      <w:r w:rsidR="001274D9" w:rsidRPr="00BE10AE">
        <w:rPr>
          <w:rFonts w:ascii="Garamond" w:hAnsi="Garamond"/>
          <w:sz w:val="26"/>
          <w:szCs w:val="26"/>
        </w:rPr>
        <w:t>.</w:t>
      </w:r>
      <w:r w:rsidR="009F2D87" w:rsidRPr="00BE10AE">
        <w:rPr>
          <w:rFonts w:ascii="Garamond" w:hAnsi="Garamond"/>
          <w:sz w:val="26"/>
          <w:szCs w:val="26"/>
        </w:rPr>
        <w:t xml:space="preserve"> (</w:t>
      </w:r>
      <w:r w:rsidR="009F2D87" w:rsidRPr="00BE10AE">
        <w:rPr>
          <w:rFonts w:ascii="Garamond" w:hAnsi="Garamond"/>
          <w:i/>
          <w:iCs/>
          <w:sz w:val="26"/>
          <w:szCs w:val="26"/>
        </w:rPr>
        <w:t>Smith v. Superior Court of Los Angeles County</w:t>
      </w:r>
      <w:r w:rsidR="006421FC" w:rsidRPr="00BE10AE">
        <w:rPr>
          <w:rFonts w:ascii="Garamond" w:hAnsi="Garamond"/>
          <w:sz w:val="26"/>
          <w:szCs w:val="26"/>
        </w:rPr>
        <w:t xml:space="preserve"> (1968)</w:t>
      </w:r>
      <w:r w:rsidR="009F2D87" w:rsidRPr="00BE10AE">
        <w:rPr>
          <w:rFonts w:ascii="Garamond" w:hAnsi="Garamond"/>
          <w:sz w:val="26"/>
          <w:szCs w:val="26"/>
        </w:rPr>
        <w:t xml:space="preserve"> 68 Cal.2d 547</w:t>
      </w:r>
      <w:r w:rsidR="006421FC" w:rsidRPr="00BE10AE">
        <w:rPr>
          <w:rFonts w:ascii="Garamond" w:hAnsi="Garamond"/>
          <w:sz w:val="26"/>
          <w:szCs w:val="26"/>
        </w:rPr>
        <w:t>, 559.)</w:t>
      </w:r>
      <w:r w:rsidR="001274D9" w:rsidRPr="00BE10AE">
        <w:rPr>
          <w:rFonts w:ascii="Garamond" w:hAnsi="Garamond"/>
          <w:sz w:val="26"/>
          <w:szCs w:val="26"/>
        </w:rPr>
        <w:t xml:space="preserve"> A trial judge faced with </w:t>
      </w:r>
      <w:r w:rsidR="00655264" w:rsidRPr="00BE10AE">
        <w:rPr>
          <w:rFonts w:ascii="Garamond" w:hAnsi="Garamond"/>
          <w:sz w:val="26"/>
          <w:szCs w:val="26"/>
        </w:rPr>
        <w:t>potentially incompetent counsel</w:t>
      </w:r>
      <w:r w:rsidR="00A57F94">
        <w:rPr>
          <w:rFonts w:ascii="Garamond" w:hAnsi="Garamond"/>
          <w:sz w:val="26"/>
          <w:szCs w:val="26"/>
        </w:rPr>
        <w:t>—</w:t>
      </w:r>
      <w:r w:rsidR="00655264" w:rsidRPr="00BE10AE">
        <w:rPr>
          <w:rFonts w:ascii="Garamond" w:hAnsi="Garamond"/>
          <w:sz w:val="26"/>
          <w:szCs w:val="26"/>
        </w:rPr>
        <w:t>but counsel who was chosen by the accused</w:t>
      </w:r>
      <w:r w:rsidR="00A57F94">
        <w:rPr>
          <w:rFonts w:ascii="Garamond" w:hAnsi="Garamond"/>
          <w:sz w:val="26"/>
          <w:szCs w:val="26"/>
        </w:rPr>
        <w:t>—</w:t>
      </w:r>
      <w:r w:rsidR="00345E47" w:rsidRPr="00BE10AE">
        <w:rPr>
          <w:rFonts w:ascii="Garamond" w:hAnsi="Garamond"/>
          <w:sz w:val="26"/>
          <w:szCs w:val="26"/>
        </w:rPr>
        <w:t>“</w:t>
      </w:r>
      <w:r w:rsidR="001274D9" w:rsidRPr="00BE10AE">
        <w:rPr>
          <w:rFonts w:ascii="Garamond" w:hAnsi="Garamond"/>
          <w:sz w:val="26"/>
          <w:szCs w:val="26"/>
        </w:rPr>
        <w:t>is placed in a difficult dilemma: If a</w:t>
      </w:r>
      <w:r w:rsidR="00F96F79" w:rsidRPr="00BE10AE">
        <w:rPr>
          <w:rFonts w:ascii="Garamond" w:hAnsi="Garamond"/>
          <w:sz w:val="26"/>
          <w:szCs w:val="26"/>
        </w:rPr>
        <w:t xml:space="preserve"> . . .</w:t>
      </w:r>
      <w:r w:rsidR="001274D9" w:rsidRPr="00BE10AE">
        <w:rPr>
          <w:rFonts w:ascii="Garamond" w:hAnsi="Garamond"/>
          <w:sz w:val="26"/>
          <w:szCs w:val="26"/>
        </w:rPr>
        <w:t xml:space="preserve"> court agrees to the </w:t>
      </w:r>
      <w:r w:rsidR="00F96F79" w:rsidRPr="00BE10AE">
        <w:rPr>
          <w:rFonts w:ascii="Garamond" w:hAnsi="Garamond"/>
          <w:sz w:val="26"/>
          <w:szCs w:val="26"/>
        </w:rPr>
        <w:t>. . .</w:t>
      </w:r>
      <w:r w:rsidR="001274D9" w:rsidRPr="00BE10AE">
        <w:rPr>
          <w:rFonts w:ascii="Garamond" w:hAnsi="Garamond"/>
          <w:sz w:val="26"/>
          <w:szCs w:val="26"/>
        </w:rPr>
        <w:t xml:space="preserve"> representation, and the advocacy of counsel is thereafter impaired as a result, the defendant may well claim that he did not receive effective assistance. On the other hand, a </w:t>
      </w:r>
      <w:r w:rsidR="00E344DD" w:rsidRPr="00BE10AE">
        <w:rPr>
          <w:rFonts w:ascii="Garamond" w:hAnsi="Garamond"/>
          <w:sz w:val="26"/>
          <w:szCs w:val="26"/>
        </w:rPr>
        <w:t>. . .</w:t>
      </w:r>
      <w:r w:rsidR="001274D9" w:rsidRPr="00BE10AE">
        <w:rPr>
          <w:rFonts w:ascii="Garamond" w:hAnsi="Garamond"/>
          <w:sz w:val="26"/>
          <w:szCs w:val="26"/>
        </w:rPr>
        <w:t xml:space="preserve"> court</w:t>
      </w:r>
      <w:r w:rsidR="00345E47" w:rsidRPr="00BE10AE">
        <w:rPr>
          <w:rFonts w:ascii="Garamond" w:hAnsi="Garamond"/>
          <w:sz w:val="26"/>
          <w:szCs w:val="26"/>
        </w:rPr>
        <w:t>’</w:t>
      </w:r>
      <w:r w:rsidR="001274D9" w:rsidRPr="00BE10AE">
        <w:rPr>
          <w:rFonts w:ascii="Garamond" w:hAnsi="Garamond"/>
          <w:sz w:val="26"/>
          <w:szCs w:val="26"/>
        </w:rPr>
        <w:t xml:space="preserve">s refusal to accede to the </w:t>
      </w:r>
      <w:r w:rsidR="001B6EF0" w:rsidRPr="00BE10AE">
        <w:rPr>
          <w:rFonts w:ascii="Garamond" w:hAnsi="Garamond"/>
          <w:sz w:val="26"/>
          <w:szCs w:val="26"/>
        </w:rPr>
        <w:t>. . .</w:t>
      </w:r>
      <w:r w:rsidR="001274D9" w:rsidRPr="00BE10AE">
        <w:rPr>
          <w:rFonts w:ascii="Garamond" w:hAnsi="Garamond"/>
          <w:sz w:val="26"/>
          <w:szCs w:val="26"/>
        </w:rPr>
        <w:t xml:space="preserve"> representation may result in a challenge</w:t>
      </w:r>
      <w:r w:rsidR="003137D7" w:rsidRPr="00BE10AE">
        <w:rPr>
          <w:rFonts w:ascii="Garamond" w:hAnsi="Garamond"/>
          <w:sz w:val="26"/>
          <w:szCs w:val="26"/>
        </w:rPr>
        <w:t xml:space="preserve">” based on the </w:t>
      </w:r>
      <w:r w:rsidR="00A2716E" w:rsidRPr="00BE10AE">
        <w:rPr>
          <w:rFonts w:ascii="Garamond" w:hAnsi="Garamond"/>
          <w:sz w:val="26"/>
          <w:szCs w:val="26"/>
        </w:rPr>
        <w:t xml:space="preserve">court’s denial of the defendant’s right to counsel of choice. </w:t>
      </w:r>
      <w:r w:rsidR="001274D9" w:rsidRPr="00BE10AE">
        <w:rPr>
          <w:rFonts w:ascii="Garamond" w:hAnsi="Garamond"/>
          <w:sz w:val="26"/>
          <w:szCs w:val="26"/>
        </w:rPr>
        <w:t>(</w:t>
      </w:r>
      <w:r w:rsidR="001274D9" w:rsidRPr="00BE10AE">
        <w:rPr>
          <w:rFonts w:ascii="Garamond" w:hAnsi="Garamond"/>
          <w:i/>
          <w:iCs/>
          <w:sz w:val="26"/>
          <w:szCs w:val="26"/>
        </w:rPr>
        <w:t>People v. Jones</w:t>
      </w:r>
      <w:r w:rsidR="00A2716E" w:rsidRPr="00BE10AE">
        <w:rPr>
          <w:rFonts w:ascii="Garamond" w:hAnsi="Garamond"/>
          <w:sz w:val="26"/>
          <w:szCs w:val="26"/>
        </w:rPr>
        <w:t xml:space="preserve"> </w:t>
      </w:r>
      <w:r w:rsidR="00144E1F" w:rsidRPr="00BE10AE">
        <w:rPr>
          <w:rFonts w:ascii="Garamond" w:hAnsi="Garamond"/>
          <w:sz w:val="26"/>
          <w:szCs w:val="26"/>
        </w:rPr>
        <w:t>(2004)</w:t>
      </w:r>
      <w:r w:rsidR="001274D9" w:rsidRPr="00BE10AE">
        <w:rPr>
          <w:rFonts w:ascii="Garamond" w:hAnsi="Garamond"/>
          <w:sz w:val="26"/>
          <w:szCs w:val="26"/>
        </w:rPr>
        <w:t xml:space="preserve"> 33 Cal.4th </w:t>
      </w:r>
      <w:r w:rsidR="00144E1F" w:rsidRPr="00BE10AE">
        <w:rPr>
          <w:rFonts w:ascii="Garamond" w:hAnsi="Garamond"/>
          <w:sz w:val="26"/>
          <w:szCs w:val="26"/>
        </w:rPr>
        <w:t>234,</w:t>
      </w:r>
      <w:r w:rsidR="001274D9" w:rsidRPr="00BE10AE">
        <w:rPr>
          <w:rFonts w:ascii="Garamond" w:hAnsi="Garamond"/>
          <w:sz w:val="26"/>
          <w:szCs w:val="26"/>
        </w:rPr>
        <w:t xml:space="preserve"> 241.) </w:t>
      </w:r>
      <w:r w:rsidR="00144E1F" w:rsidRPr="00BE10AE">
        <w:rPr>
          <w:rFonts w:ascii="Garamond" w:hAnsi="Garamond"/>
          <w:sz w:val="26"/>
          <w:szCs w:val="26"/>
        </w:rPr>
        <w:t>The court must find a way to balance the requirement of a competent advocate for the accused</w:t>
      </w:r>
      <w:r w:rsidR="00794143" w:rsidRPr="00BE10AE">
        <w:rPr>
          <w:rFonts w:ascii="Garamond" w:hAnsi="Garamond"/>
          <w:sz w:val="26"/>
          <w:szCs w:val="26"/>
        </w:rPr>
        <w:t xml:space="preserve"> who is ready to proceed to trial</w:t>
      </w:r>
      <w:r w:rsidR="00144E1F" w:rsidRPr="00BE10AE">
        <w:rPr>
          <w:rFonts w:ascii="Garamond" w:hAnsi="Garamond"/>
          <w:sz w:val="26"/>
          <w:szCs w:val="26"/>
        </w:rPr>
        <w:t xml:space="preserve"> against the accused’s right to counsel of choice.</w:t>
      </w:r>
      <w:r w:rsidR="001274D9" w:rsidRPr="00BE10AE">
        <w:rPr>
          <w:rFonts w:ascii="Garamond" w:hAnsi="Garamond"/>
          <w:sz w:val="26"/>
          <w:szCs w:val="26"/>
        </w:rPr>
        <w:t xml:space="preserve"> (</w:t>
      </w:r>
      <w:r w:rsidR="001274D9" w:rsidRPr="00BE10AE">
        <w:rPr>
          <w:rFonts w:ascii="Garamond" w:hAnsi="Garamond"/>
          <w:i/>
          <w:iCs/>
          <w:sz w:val="26"/>
          <w:szCs w:val="26"/>
        </w:rPr>
        <w:t>People v. Mungia</w:t>
      </w:r>
      <w:r w:rsidR="00794143" w:rsidRPr="00BE10AE">
        <w:rPr>
          <w:rFonts w:ascii="Garamond" w:hAnsi="Garamond"/>
          <w:sz w:val="26"/>
          <w:szCs w:val="26"/>
        </w:rPr>
        <w:t xml:space="preserve"> (2008)</w:t>
      </w:r>
      <w:r w:rsidR="001274D9" w:rsidRPr="00BE10AE">
        <w:rPr>
          <w:rFonts w:ascii="Garamond" w:hAnsi="Garamond"/>
          <w:sz w:val="26"/>
          <w:szCs w:val="26"/>
        </w:rPr>
        <w:t xml:space="preserve"> 44 Cal.4th </w:t>
      </w:r>
      <w:r w:rsidR="00794143" w:rsidRPr="00BE10AE">
        <w:rPr>
          <w:rFonts w:ascii="Garamond" w:hAnsi="Garamond"/>
          <w:sz w:val="26"/>
          <w:szCs w:val="26"/>
        </w:rPr>
        <w:t>1101,</w:t>
      </w:r>
      <w:r w:rsidR="001274D9" w:rsidRPr="00BE10AE">
        <w:rPr>
          <w:rFonts w:ascii="Garamond" w:hAnsi="Garamond"/>
          <w:sz w:val="26"/>
          <w:szCs w:val="26"/>
        </w:rPr>
        <w:t xml:space="preserve"> 1124.) </w:t>
      </w:r>
    </w:p>
    <w:p w14:paraId="27604D4E" w14:textId="35C49695" w:rsidR="00691A49" w:rsidRPr="00BE10AE" w:rsidRDefault="00823075" w:rsidP="00131628">
      <w:pPr>
        <w:spacing w:line="360" w:lineRule="auto"/>
        <w:ind w:firstLine="360"/>
        <w:contextualSpacing/>
        <w:rPr>
          <w:rFonts w:ascii="Garamond" w:hAnsi="Garamond"/>
          <w:sz w:val="26"/>
          <w:szCs w:val="26"/>
        </w:rPr>
      </w:pPr>
      <w:r w:rsidRPr="00BE10AE">
        <w:rPr>
          <w:rFonts w:ascii="Garamond" w:hAnsi="Garamond"/>
          <w:sz w:val="26"/>
          <w:szCs w:val="26"/>
        </w:rPr>
        <w:t xml:space="preserve">Courts must also—at least to a certain extent—permit the accused to retain his or her counsel of choice. </w:t>
      </w:r>
      <w:r w:rsidR="00C90121" w:rsidRPr="00BE10AE">
        <w:rPr>
          <w:rFonts w:ascii="Garamond" w:hAnsi="Garamond"/>
          <w:sz w:val="26"/>
          <w:szCs w:val="26"/>
        </w:rPr>
        <w:t>(</w:t>
      </w:r>
      <w:r w:rsidR="001C27DF" w:rsidRPr="001C27DF">
        <w:rPr>
          <w:rFonts w:ascii="Garamond" w:hAnsi="Garamond"/>
          <w:i/>
          <w:iCs/>
          <w:sz w:val="26"/>
          <w:szCs w:val="26"/>
        </w:rPr>
        <w:t>People v</w:t>
      </w:r>
      <w:r w:rsidR="001C27DF">
        <w:rPr>
          <w:rFonts w:ascii="Garamond" w:hAnsi="Garamond"/>
          <w:i/>
          <w:iCs/>
          <w:sz w:val="26"/>
          <w:szCs w:val="26"/>
        </w:rPr>
        <w:t>.</w:t>
      </w:r>
      <w:r w:rsidR="001C27DF" w:rsidRPr="001C27DF">
        <w:rPr>
          <w:rFonts w:ascii="Garamond" w:hAnsi="Garamond"/>
          <w:i/>
          <w:iCs/>
          <w:sz w:val="26"/>
          <w:szCs w:val="26"/>
        </w:rPr>
        <w:t xml:space="preserve"> Ramirez</w:t>
      </w:r>
      <w:r w:rsidR="00C90121" w:rsidRPr="00BE10AE">
        <w:rPr>
          <w:rFonts w:ascii="Garamond" w:hAnsi="Garamond"/>
          <w:sz w:val="26"/>
          <w:szCs w:val="26"/>
        </w:rPr>
        <w:t xml:space="preserve"> (2006) 39 Cal. 4th 398, 42</w:t>
      </w:r>
      <w:r w:rsidR="00974B47" w:rsidRPr="00BE10AE">
        <w:rPr>
          <w:rFonts w:ascii="Garamond" w:hAnsi="Garamond"/>
          <w:sz w:val="26"/>
          <w:szCs w:val="26"/>
        </w:rPr>
        <w:t>2</w:t>
      </w:r>
      <w:r w:rsidR="00C90121" w:rsidRPr="00BE10AE">
        <w:rPr>
          <w:rFonts w:ascii="Garamond" w:hAnsi="Garamond"/>
          <w:sz w:val="26"/>
          <w:szCs w:val="26"/>
        </w:rPr>
        <w:t xml:space="preserve">.) </w:t>
      </w:r>
      <w:r w:rsidRPr="00BE10AE">
        <w:rPr>
          <w:rFonts w:ascii="Garamond" w:hAnsi="Garamond"/>
          <w:sz w:val="26"/>
          <w:szCs w:val="26"/>
        </w:rPr>
        <w:t>An element of a defendant</w:t>
      </w:r>
      <w:r w:rsidR="00345E47" w:rsidRPr="00BE10AE">
        <w:rPr>
          <w:rFonts w:ascii="Garamond" w:hAnsi="Garamond"/>
          <w:sz w:val="26"/>
          <w:szCs w:val="26"/>
        </w:rPr>
        <w:t>’</w:t>
      </w:r>
      <w:r w:rsidRPr="00BE10AE">
        <w:rPr>
          <w:rFonts w:ascii="Garamond" w:hAnsi="Garamond"/>
          <w:sz w:val="26"/>
          <w:szCs w:val="26"/>
        </w:rPr>
        <w:t xml:space="preserve">s right to counsel </w:t>
      </w:r>
      <w:r w:rsidR="00345E47" w:rsidRPr="00BE10AE">
        <w:rPr>
          <w:rFonts w:ascii="Garamond" w:hAnsi="Garamond"/>
          <w:sz w:val="26"/>
          <w:szCs w:val="26"/>
        </w:rPr>
        <w:t>“</w:t>
      </w:r>
      <w:r w:rsidRPr="00BE10AE">
        <w:rPr>
          <w:rFonts w:ascii="Garamond" w:hAnsi="Garamond"/>
          <w:sz w:val="26"/>
          <w:szCs w:val="26"/>
        </w:rPr>
        <w:t>is the right of a defendant who does not require appointed counsel to choose who will represent him.</w:t>
      </w:r>
      <w:r w:rsidR="00345E47" w:rsidRPr="00BE10AE">
        <w:rPr>
          <w:rFonts w:ascii="Garamond" w:hAnsi="Garamond"/>
          <w:sz w:val="26"/>
          <w:szCs w:val="26"/>
        </w:rPr>
        <w:t>”</w:t>
      </w:r>
      <w:r w:rsidRPr="00BE10AE">
        <w:rPr>
          <w:rFonts w:ascii="Garamond" w:hAnsi="Garamond"/>
          <w:sz w:val="26"/>
          <w:szCs w:val="26"/>
        </w:rPr>
        <w:t xml:space="preserve"> (</w:t>
      </w:r>
      <w:r w:rsidRPr="00BE10AE">
        <w:rPr>
          <w:rFonts w:ascii="Garamond" w:hAnsi="Garamond"/>
          <w:i/>
          <w:iCs/>
          <w:sz w:val="26"/>
          <w:szCs w:val="26"/>
        </w:rPr>
        <w:t>United States v. Gonzalez-Lopez</w:t>
      </w:r>
      <w:r w:rsidRPr="00BE10AE">
        <w:rPr>
          <w:rFonts w:ascii="Garamond" w:hAnsi="Garamond"/>
          <w:sz w:val="26"/>
          <w:szCs w:val="26"/>
        </w:rPr>
        <w:t xml:space="preserve"> (2006) 548 U.S</w:t>
      </w:r>
      <w:r w:rsidR="00D92849" w:rsidRPr="00BE10AE">
        <w:rPr>
          <w:rFonts w:ascii="Garamond" w:hAnsi="Garamond"/>
          <w:sz w:val="26"/>
          <w:szCs w:val="26"/>
        </w:rPr>
        <w:t xml:space="preserve">. 140, </w:t>
      </w:r>
      <w:r w:rsidR="00F04C67" w:rsidRPr="00BE10AE">
        <w:rPr>
          <w:rFonts w:ascii="Garamond" w:hAnsi="Garamond"/>
          <w:sz w:val="26"/>
          <w:szCs w:val="26"/>
        </w:rPr>
        <w:t>144</w:t>
      </w:r>
      <w:r w:rsidRPr="00BE10AE">
        <w:rPr>
          <w:rFonts w:ascii="Garamond" w:hAnsi="Garamond"/>
          <w:sz w:val="26"/>
          <w:szCs w:val="26"/>
        </w:rPr>
        <w:t>.) A criminal defendant has a qualified right to retain counsel of his choice, and the trial court can deny a defendant</w:t>
      </w:r>
      <w:r w:rsidR="00345E47" w:rsidRPr="00BE10AE">
        <w:rPr>
          <w:rFonts w:ascii="Garamond" w:hAnsi="Garamond"/>
          <w:sz w:val="26"/>
          <w:szCs w:val="26"/>
        </w:rPr>
        <w:t>’</w:t>
      </w:r>
      <w:r w:rsidRPr="00BE10AE">
        <w:rPr>
          <w:rFonts w:ascii="Garamond" w:hAnsi="Garamond"/>
          <w:sz w:val="26"/>
          <w:szCs w:val="26"/>
        </w:rPr>
        <w:t xml:space="preserve">s timely request to substitute counsel only if it </w:t>
      </w:r>
      <w:r w:rsidR="00345E47" w:rsidRPr="00BE10AE">
        <w:rPr>
          <w:rFonts w:ascii="Garamond" w:hAnsi="Garamond"/>
          <w:sz w:val="26"/>
          <w:szCs w:val="26"/>
        </w:rPr>
        <w:t>“</w:t>
      </w:r>
      <w:r w:rsidRPr="00BE10AE">
        <w:rPr>
          <w:rFonts w:ascii="Garamond" w:hAnsi="Garamond"/>
          <w:sz w:val="26"/>
          <w:szCs w:val="26"/>
        </w:rPr>
        <w:t>will result in significant prejudice to the defendant.</w:t>
      </w:r>
      <w:r w:rsidR="00345E47" w:rsidRPr="00BE10AE">
        <w:rPr>
          <w:rFonts w:ascii="Garamond" w:hAnsi="Garamond"/>
          <w:sz w:val="26"/>
          <w:szCs w:val="26"/>
        </w:rPr>
        <w:t>“</w:t>
      </w:r>
      <w:r w:rsidRPr="00BE10AE">
        <w:rPr>
          <w:rFonts w:ascii="Garamond" w:hAnsi="Garamond"/>
          <w:sz w:val="26"/>
          <w:szCs w:val="26"/>
        </w:rPr>
        <w:t xml:space="preserve"> (</w:t>
      </w:r>
      <w:r w:rsidRPr="00BE10AE">
        <w:rPr>
          <w:rFonts w:ascii="Garamond" w:hAnsi="Garamond"/>
          <w:i/>
          <w:iCs/>
          <w:sz w:val="26"/>
          <w:szCs w:val="26"/>
        </w:rPr>
        <w:t>People v. Gzikowski</w:t>
      </w:r>
      <w:r w:rsidRPr="00BE10AE">
        <w:rPr>
          <w:rFonts w:ascii="Garamond" w:hAnsi="Garamond"/>
          <w:sz w:val="26"/>
          <w:szCs w:val="26"/>
        </w:rPr>
        <w:t xml:space="preserve"> (1982) 32 Cal.3d 580, 587.) The right to</w:t>
      </w:r>
      <w:r w:rsidR="00A371AA" w:rsidRPr="00BE10AE">
        <w:rPr>
          <w:rFonts w:ascii="Garamond" w:hAnsi="Garamond"/>
          <w:sz w:val="26"/>
          <w:szCs w:val="26"/>
        </w:rPr>
        <w:t xml:space="preserve"> the</w:t>
      </w:r>
      <w:r w:rsidRPr="00BE10AE">
        <w:rPr>
          <w:rFonts w:ascii="Garamond" w:hAnsi="Garamond"/>
          <w:sz w:val="26"/>
          <w:szCs w:val="26"/>
        </w:rPr>
        <w:t xml:space="preserve"> effective assistance of counsel </w:t>
      </w:r>
      <w:r w:rsidR="00A371AA" w:rsidRPr="00BE10AE">
        <w:rPr>
          <w:rFonts w:ascii="Garamond" w:hAnsi="Garamond"/>
          <w:sz w:val="26"/>
          <w:szCs w:val="26"/>
        </w:rPr>
        <w:t>“</w:t>
      </w:r>
      <w:r w:rsidRPr="00BE10AE">
        <w:rPr>
          <w:rFonts w:ascii="Garamond" w:hAnsi="Garamond"/>
          <w:sz w:val="26"/>
          <w:szCs w:val="26"/>
        </w:rPr>
        <w:t>encompasses the right to retain counsel of one</w:t>
      </w:r>
      <w:r w:rsidR="00345E47" w:rsidRPr="00BE10AE">
        <w:rPr>
          <w:rFonts w:ascii="Garamond" w:hAnsi="Garamond"/>
          <w:sz w:val="26"/>
          <w:szCs w:val="26"/>
        </w:rPr>
        <w:t>’</w:t>
      </w:r>
      <w:r w:rsidRPr="00BE10AE">
        <w:rPr>
          <w:rFonts w:ascii="Garamond" w:hAnsi="Garamond"/>
          <w:sz w:val="26"/>
          <w:szCs w:val="26"/>
        </w:rPr>
        <w:t>s choice. Though entitlement to representation by a particular attorney is not absolute, the state should keep to a necessary minimum its interference with the individual</w:t>
      </w:r>
      <w:r w:rsidR="00345E47" w:rsidRPr="00BE10AE">
        <w:rPr>
          <w:rFonts w:ascii="Garamond" w:hAnsi="Garamond"/>
          <w:sz w:val="26"/>
          <w:szCs w:val="26"/>
        </w:rPr>
        <w:t>’</w:t>
      </w:r>
      <w:r w:rsidRPr="00BE10AE">
        <w:rPr>
          <w:rFonts w:ascii="Garamond" w:hAnsi="Garamond"/>
          <w:sz w:val="26"/>
          <w:szCs w:val="26"/>
        </w:rPr>
        <w:t xml:space="preserve">s desire to defend himself in whatever manner he deems best, using any legitimate means within his resources—and </w:t>
      </w:r>
      <w:r w:rsidR="00A371AA" w:rsidRPr="00BE10AE">
        <w:rPr>
          <w:rFonts w:ascii="Garamond" w:hAnsi="Garamond"/>
          <w:sz w:val="26"/>
          <w:szCs w:val="26"/>
        </w:rPr>
        <w:t xml:space="preserve">. . . </w:t>
      </w:r>
      <w:r w:rsidRPr="00BE10AE">
        <w:rPr>
          <w:rFonts w:ascii="Garamond" w:hAnsi="Garamond"/>
          <w:sz w:val="26"/>
          <w:szCs w:val="26"/>
        </w:rPr>
        <w:t xml:space="preserve">that desire can constitutionally be forced to yield only when it will result in significant prejudice </w:t>
      </w:r>
      <w:r w:rsidR="00012B38" w:rsidRPr="00BE10AE">
        <w:rPr>
          <w:rFonts w:ascii="Garamond" w:hAnsi="Garamond"/>
          <w:sz w:val="26"/>
          <w:szCs w:val="26"/>
        </w:rPr>
        <w:t>to</w:t>
      </w:r>
      <w:r w:rsidRPr="00BE10AE">
        <w:rPr>
          <w:rFonts w:ascii="Garamond" w:hAnsi="Garamond"/>
          <w:sz w:val="26"/>
          <w:szCs w:val="26"/>
        </w:rPr>
        <w:t xml:space="preserve"> the defendant himself or in a disruption of the orderly processes of justice unreasonable under the circumstances of the particular case.</w:t>
      </w:r>
      <w:r w:rsidR="00345E47" w:rsidRPr="00BE10AE">
        <w:rPr>
          <w:rFonts w:ascii="Garamond" w:hAnsi="Garamond"/>
          <w:sz w:val="26"/>
          <w:szCs w:val="26"/>
        </w:rPr>
        <w:t>”</w:t>
      </w:r>
      <w:r w:rsidRPr="00BE10AE">
        <w:rPr>
          <w:rFonts w:ascii="Garamond" w:hAnsi="Garamond"/>
          <w:sz w:val="26"/>
          <w:szCs w:val="26"/>
        </w:rPr>
        <w:t xml:space="preserve"> (</w:t>
      </w:r>
      <w:r w:rsidRPr="00BE10AE">
        <w:rPr>
          <w:rFonts w:ascii="Garamond" w:hAnsi="Garamond"/>
          <w:i/>
          <w:iCs/>
          <w:sz w:val="26"/>
          <w:szCs w:val="26"/>
        </w:rPr>
        <w:t>Id</w:t>
      </w:r>
      <w:r w:rsidRPr="00BE10AE">
        <w:rPr>
          <w:rFonts w:ascii="Garamond" w:hAnsi="Garamond"/>
          <w:sz w:val="26"/>
          <w:szCs w:val="26"/>
        </w:rPr>
        <w:t>. at pp. 586–587</w:t>
      </w:r>
      <w:r w:rsidR="00A57F94">
        <w:rPr>
          <w:rFonts w:ascii="Garamond" w:hAnsi="Garamond"/>
          <w:sz w:val="26"/>
          <w:szCs w:val="26"/>
        </w:rPr>
        <w:t>.)</w:t>
      </w:r>
    </w:p>
    <w:p w14:paraId="47EC9DEB" w14:textId="6B9BBD44" w:rsidR="00563596" w:rsidRPr="00BE10AE" w:rsidRDefault="00A57F94" w:rsidP="00131628">
      <w:pPr>
        <w:spacing w:line="360" w:lineRule="auto"/>
        <w:ind w:firstLine="360"/>
        <w:contextualSpacing/>
        <w:rPr>
          <w:rFonts w:ascii="Garamond" w:hAnsi="Garamond"/>
          <w:sz w:val="26"/>
          <w:szCs w:val="26"/>
        </w:rPr>
      </w:pPr>
      <w:r>
        <w:rPr>
          <w:rFonts w:ascii="Garamond" w:hAnsi="Garamond"/>
          <w:sz w:val="26"/>
          <w:szCs w:val="26"/>
        </w:rPr>
        <w:t>Finally, t</w:t>
      </w:r>
      <w:r w:rsidR="00563596" w:rsidRPr="00BE10AE">
        <w:rPr>
          <w:rFonts w:ascii="Garamond" w:hAnsi="Garamond"/>
          <w:sz w:val="26"/>
          <w:szCs w:val="26"/>
        </w:rPr>
        <w:t xml:space="preserve">he court should of course </w:t>
      </w:r>
      <w:r w:rsidR="00E32652" w:rsidRPr="00BE10AE">
        <w:rPr>
          <w:rFonts w:ascii="Garamond" w:hAnsi="Garamond"/>
          <w:sz w:val="26"/>
          <w:szCs w:val="26"/>
        </w:rPr>
        <w:t>never accept a guilty plea from a represented defendant in counsel’s absence</w:t>
      </w:r>
      <w:r w:rsidR="00563596" w:rsidRPr="00BE10AE">
        <w:rPr>
          <w:rFonts w:ascii="Garamond" w:hAnsi="Garamond"/>
          <w:sz w:val="26"/>
          <w:szCs w:val="26"/>
        </w:rPr>
        <w:t>. (</w:t>
      </w:r>
      <w:r w:rsidR="001865D1" w:rsidRPr="00BE10AE">
        <w:rPr>
          <w:rFonts w:ascii="Garamond" w:hAnsi="Garamond"/>
          <w:i/>
          <w:iCs/>
          <w:sz w:val="26"/>
          <w:szCs w:val="26"/>
        </w:rPr>
        <w:t>Kloepfer v. Commission on Judicial Performance</w:t>
      </w:r>
      <w:r w:rsidR="001865D1" w:rsidRPr="00BE10AE">
        <w:rPr>
          <w:rFonts w:ascii="Garamond" w:hAnsi="Garamond"/>
          <w:sz w:val="26"/>
          <w:szCs w:val="26"/>
        </w:rPr>
        <w:t xml:space="preserve"> (1989) </w:t>
      </w:r>
      <w:r w:rsidR="00563596" w:rsidRPr="00BE10AE">
        <w:rPr>
          <w:rFonts w:ascii="Garamond" w:hAnsi="Garamond"/>
          <w:sz w:val="26"/>
          <w:szCs w:val="26"/>
        </w:rPr>
        <w:t>49 Cal.3d 826</w:t>
      </w:r>
      <w:r w:rsidR="00E32652" w:rsidRPr="00BE10AE">
        <w:rPr>
          <w:rFonts w:ascii="Garamond" w:hAnsi="Garamond"/>
          <w:sz w:val="26"/>
          <w:szCs w:val="26"/>
        </w:rPr>
        <w:t>, 849</w:t>
      </w:r>
      <w:r w:rsidR="00F0284A" w:rsidRPr="00BE10AE">
        <w:rPr>
          <w:rFonts w:ascii="Garamond" w:hAnsi="Garamond"/>
          <w:sz w:val="26"/>
          <w:szCs w:val="26"/>
        </w:rPr>
        <w:t xml:space="preserve">.) Nor should the court </w:t>
      </w:r>
      <w:r w:rsidR="00005B90" w:rsidRPr="00BE10AE">
        <w:rPr>
          <w:rFonts w:ascii="Garamond" w:hAnsi="Garamond"/>
          <w:sz w:val="26"/>
          <w:szCs w:val="26"/>
        </w:rPr>
        <w:t>tell counsel that his client is a “puke” and a “psychopath</w:t>
      </w:r>
      <w:r w:rsidR="009626AB" w:rsidRPr="00BE10AE">
        <w:rPr>
          <w:rFonts w:ascii="Garamond" w:hAnsi="Garamond"/>
          <w:sz w:val="26"/>
          <w:szCs w:val="26"/>
        </w:rPr>
        <w:t>” and that counsel will likely “</w:t>
      </w:r>
      <w:r w:rsidR="006E0FE9" w:rsidRPr="00BE10AE">
        <w:rPr>
          <w:rFonts w:ascii="Garamond" w:hAnsi="Garamond"/>
          <w:sz w:val="26"/>
          <w:szCs w:val="26"/>
        </w:rPr>
        <w:t>never again practice before [the judge] and probably not in western El Dorado County” again if he continues representing his client</w:t>
      </w:r>
      <w:r w:rsidR="00F0284A" w:rsidRPr="00BE10AE">
        <w:rPr>
          <w:rFonts w:ascii="Garamond" w:hAnsi="Garamond"/>
          <w:sz w:val="26"/>
          <w:szCs w:val="26"/>
        </w:rPr>
        <w:t xml:space="preserve">. </w:t>
      </w:r>
      <w:r w:rsidR="001878F6" w:rsidRPr="00BE10AE">
        <w:rPr>
          <w:rFonts w:ascii="Garamond" w:hAnsi="Garamond"/>
          <w:sz w:val="26"/>
          <w:szCs w:val="26"/>
        </w:rPr>
        <w:t>(</w:t>
      </w:r>
      <w:r w:rsidR="007D4F79" w:rsidRPr="00BE10AE">
        <w:rPr>
          <w:rFonts w:ascii="Garamond" w:hAnsi="Garamond"/>
          <w:i/>
          <w:iCs/>
          <w:sz w:val="26"/>
          <w:szCs w:val="26"/>
        </w:rPr>
        <w:t>Wenger v. Commission on Judicial Performance</w:t>
      </w:r>
      <w:r w:rsidR="007D4F79" w:rsidRPr="00BE10AE">
        <w:rPr>
          <w:rFonts w:ascii="Garamond" w:hAnsi="Garamond"/>
          <w:sz w:val="26"/>
          <w:szCs w:val="26"/>
        </w:rPr>
        <w:t xml:space="preserve"> (1981) </w:t>
      </w:r>
      <w:r w:rsidR="001878F6" w:rsidRPr="00BE10AE">
        <w:rPr>
          <w:rFonts w:ascii="Garamond" w:hAnsi="Garamond"/>
          <w:sz w:val="26"/>
          <w:szCs w:val="26"/>
        </w:rPr>
        <w:t>29 Cal.3d 615</w:t>
      </w:r>
      <w:r w:rsidR="007D4F79" w:rsidRPr="00BE10AE">
        <w:rPr>
          <w:rFonts w:ascii="Garamond" w:hAnsi="Garamond"/>
          <w:sz w:val="26"/>
          <w:szCs w:val="26"/>
        </w:rPr>
        <w:t>, 633</w:t>
      </w:r>
      <w:r w:rsidR="001878F6" w:rsidRPr="00BE10AE">
        <w:rPr>
          <w:rFonts w:ascii="Garamond" w:hAnsi="Garamond"/>
          <w:sz w:val="26"/>
          <w:szCs w:val="26"/>
        </w:rPr>
        <w:t>.)</w:t>
      </w:r>
      <w:r w:rsidR="001878F6" w:rsidRPr="00BE10AE">
        <w:rPr>
          <w:rStyle w:val="FootnoteReference"/>
          <w:rFonts w:ascii="Garamond" w:hAnsi="Garamond"/>
          <w:sz w:val="26"/>
          <w:szCs w:val="26"/>
        </w:rPr>
        <w:footnoteReference w:id="4"/>
      </w:r>
    </w:p>
    <w:p w14:paraId="09528F8D" w14:textId="5BDB6443" w:rsidR="00733F6E" w:rsidRPr="00BE10AE" w:rsidRDefault="00C265BF" w:rsidP="00F13C8E">
      <w:pPr>
        <w:pStyle w:val="ListParagraph"/>
        <w:numPr>
          <w:ilvl w:val="1"/>
          <w:numId w:val="2"/>
        </w:numPr>
        <w:spacing w:line="240" w:lineRule="auto"/>
        <w:rPr>
          <w:rFonts w:ascii="Garamond" w:hAnsi="Garamond"/>
          <w:b/>
          <w:bCs/>
          <w:sz w:val="26"/>
          <w:szCs w:val="26"/>
        </w:rPr>
      </w:pPr>
      <w:r w:rsidRPr="00BE10AE">
        <w:rPr>
          <w:rFonts w:ascii="Garamond" w:hAnsi="Garamond"/>
          <w:b/>
          <w:bCs/>
          <w:sz w:val="26"/>
          <w:szCs w:val="26"/>
        </w:rPr>
        <w:t xml:space="preserve">And </w:t>
      </w:r>
      <w:r w:rsidR="00F13C8E" w:rsidRPr="00BE10AE">
        <w:rPr>
          <w:rFonts w:ascii="Garamond" w:hAnsi="Garamond"/>
          <w:b/>
          <w:bCs/>
          <w:sz w:val="26"/>
          <w:szCs w:val="26"/>
        </w:rPr>
        <w:t>judges shouldn’t have</w:t>
      </w:r>
      <w:r w:rsidRPr="00BE10AE">
        <w:rPr>
          <w:rFonts w:ascii="Garamond" w:hAnsi="Garamond"/>
          <w:b/>
          <w:bCs/>
          <w:sz w:val="26"/>
          <w:szCs w:val="26"/>
        </w:rPr>
        <w:t xml:space="preserve"> e</w:t>
      </w:r>
      <w:r w:rsidR="00733F6E" w:rsidRPr="00BE10AE">
        <w:rPr>
          <w:rFonts w:ascii="Garamond" w:hAnsi="Garamond"/>
          <w:b/>
          <w:bCs/>
          <w:sz w:val="26"/>
          <w:szCs w:val="26"/>
        </w:rPr>
        <w:t>x parte communications</w:t>
      </w:r>
      <w:r w:rsidR="00F13C8E" w:rsidRPr="00BE10AE">
        <w:rPr>
          <w:rFonts w:ascii="Garamond" w:hAnsi="Garamond"/>
          <w:b/>
          <w:bCs/>
          <w:sz w:val="26"/>
          <w:szCs w:val="26"/>
        </w:rPr>
        <w:t xml:space="preserve"> with the parties or the jurors, right</w:t>
      </w:r>
      <w:r w:rsidRPr="00BE10AE">
        <w:rPr>
          <w:rFonts w:ascii="Garamond" w:hAnsi="Garamond"/>
          <w:b/>
          <w:bCs/>
          <w:sz w:val="26"/>
          <w:szCs w:val="26"/>
        </w:rPr>
        <w:t>?</w:t>
      </w:r>
    </w:p>
    <w:p w14:paraId="149AB562" w14:textId="0801B427" w:rsidR="00346416" w:rsidRPr="00BE10AE" w:rsidRDefault="00F13C8E" w:rsidP="00131628">
      <w:pPr>
        <w:spacing w:line="360" w:lineRule="auto"/>
        <w:ind w:firstLine="360"/>
        <w:contextualSpacing/>
        <w:rPr>
          <w:rFonts w:ascii="Garamond" w:hAnsi="Garamond"/>
          <w:sz w:val="26"/>
          <w:szCs w:val="26"/>
        </w:rPr>
      </w:pPr>
      <w:r w:rsidRPr="00BE10AE">
        <w:rPr>
          <w:rFonts w:ascii="Garamond" w:hAnsi="Garamond"/>
          <w:sz w:val="26"/>
          <w:szCs w:val="26"/>
        </w:rPr>
        <w:t>Right</w:t>
      </w:r>
      <w:r w:rsidR="00C265BF" w:rsidRPr="00BE10AE">
        <w:rPr>
          <w:rFonts w:ascii="Garamond" w:hAnsi="Garamond"/>
          <w:sz w:val="26"/>
          <w:szCs w:val="26"/>
        </w:rPr>
        <w:t xml:space="preserve">. Courts should definitely avoid </w:t>
      </w:r>
      <w:r w:rsidR="00836502" w:rsidRPr="00BE10AE">
        <w:rPr>
          <w:rFonts w:ascii="Garamond" w:hAnsi="Garamond"/>
          <w:sz w:val="26"/>
          <w:szCs w:val="26"/>
        </w:rPr>
        <w:t>ex parte communications. The court may not respond to a juror</w:t>
      </w:r>
      <w:r w:rsidR="00345E47" w:rsidRPr="00BE10AE">
        <w:rPr>
          <w:rFonts w:ascii="Garamond" w:hAnsi="Garamond"/>
          <w:sz w:val="26"/>
          <w:szCs w:val="26"/>
        </w:rPr>
        <w:t>’</w:t>
      </w:r>
      <w:r w:rsidR="00836502" w:rsidRPr="00BE10AE">
        <w:rPr>
          <w:rFonts w:ascii="Garamond" w:hAnsi="Garamond"/>
          <w:sz w:val="26"/>
          <w:szCs w:val="26"/>
        </w:rPr>
        <w:t xml:space="preserve">s question without first advising the parties and their attorneys, at least </w:t>
      </w:r>
      <w:r w:rsidR="00D378CB" w:rsidRPr="00BE10AE">
        <w:rPr>
          <w:rFonts w:ascii="Garamond" w:hAnsi="Garamond"/>
          <w:sz w:val="26"/>
          <w:szCs w:val="26"/>
        </w:rPr>
        <w:t>if</w:t>
      </w:r>
      <w:r w:rsidR="00836502" w:rsidRPr="00BE10AE">
        <w:rPr>
          <w:rFonts w:ascii="Garamond" w:hAnsi="Garamond"/>
          <w:sz w:val="26"/>
          <w:szCs w:val="26"/>
        </w:rPr>
        <w:t xml:space="preserve"> the inquiry relates to disputed testimony or </w:t>
      </w:r>
      <w:r w:rsidR="00D378CB" w:rsidRPr="00BE10AE">
        <w:rPr>
          <w:rFonts w:ascii="Garamond" w:hAnsi="Garamond"/>
          <w:sz w:val="26"/>
          <w:szCs w:val="26"/>
        </w:rPr>
        <w:t>a</w:t>
      </w:r>
      <w:r w:rsidR="00836502" w:rsidRPr="00BE10AE">
        <w:rPr>
          <w:rFonts w:ascii="Garamond" w:hAnsi="Garamond"/>
          <w:sz w:val="26"/>
          <w:szCs w:val="26"/>
        </w:rPr>
        <w:t xml:space="preserve"> point of law. </w:t>
      </w:r>
      <w:r w:rsidR="00D378CB" w:rsidRPr="00BE10AE">
        <w:rPr>
          <w:rFonts w:ascii="Garamond" w:hAnsi="Garamond"/>
          <w:sz w:val="26"/>
          <w:szCs w:val="26"/>
        </w:rPr>
        <w:t>(</w:t>
      </w:r>
      <w:r w:rsidR="00836502" w:rsidRPr="00BE10AE">
        <w:rPr>
          <w:rFonts w:ascii="Garamond" w:hAnsi="Garamond"/>
          <w:sz w:val="26"/>
          <w:szCs w:val="26"/>
        </w:rPr>
        <w:t xml:space="preserve">See </w:t>
      </w:r>
      <w:r w:rsidR="00D378CB" w:rsidRPr="00BE10AE">
        <w:rPr>
          <w:rFonts w:ascii="Garamond" w:hAnsi="Garamond"/>
          <w:sz w:val="26"/>
          <w:szCs w:val="26"/>
        </w:rPr>
        <w:t xml:space="preserve">Pen. Code </w:t>
      </w:r>
      <w:r w:rsidR="00836502" w:rsidRPr="00BE10AE">
        <w:rPr>
          <w:rFonts w:ascii="Garamond" w:hAnsi="Garamond"/>
          <w:sz w:val="26"/>
          <w:szCs w:val="26"/>
        </w:rPr>
        <w:t>§1138</w:t>
      </w:r>
      <w:r w:rsidR="00D378CB" w:rsidRPr="00BE10AE">
        <w:rPr>
          <w:rFonts w:ascii="Garamond" w:hAnsi="Garamond"/>
          <w:sz w:val="26"/>
          <w:szCs w:val="26"/>
        </w:rPr>
        <w:t xml:space="preserve">; </w:t>
      </w:r>
      <w:r w:rsidR="00836502" w:rsidRPr="00BE10AE">
        <w:rPr>
          <w:rFonts w:ascii="Garamond" w:hAnsi="Garamond"/>
          <w:i/>
          <w:iCs/>
          <w:sz w:val="26"/>
          <w:szCs w:val="26"/>
        </w:rPr>
        <w:t>People v</w:t>
      </w:r>
      <w:r w:rsidR="00D378CB" w:rsidRPr="00BE10AE">
        <w:rPr>
          <w:rFonts w:ascii="Garamond" w:hAnsi="Garamond"/>
          <w:i/>
          <w:iCs/>
          <w:sz w:val="26"/>
          <w:szCs w:val="26"/>
        </w:rPr>
        <w:t>.</w:t>
      </w:r>
      <w:r w:rsidR="00836502" w:rsidRPr="00BE10AE">
        <w:rPr>
          <w:rFonts w:ascii="Garamond" w:hAnsi="Garamond"/>
          <w:i/>
          <w:iCs/>
          <w:sz w:val="26"/>
          <w:szCs w:val="26"/>
        </w:rPr>
        <w:t xml:space="preserve"> Neufer</w:t>
      </w:r>
      <w:r w:rsidR="00836502" w:rsidRPr="00BE10AE">
        <w:rPr>
          <w:rFonts w:ascii="Garamond" w:hAnsi="Garamond"/>
          <w:sz w:val="26"/>
          <w:szCs w:val="26"/>
        </w:rPr>
        <w:t xml:space="preserve"> (1994) 30 C</w:t>
      </w:r>
      <w:r w:rsidR="00BB7979" w:rsidRPr="00BE10AE">
        <w:rPr>
          <w:rFonts w:ascii="Garamond" w:hAnsi="Garamond"/>
          <w:sz w:val="26"/>
          <w:szCs w:val="26"/>
        </w:rPr>
        <w:t>al.App.</w:t>
      </w:r>
      <w:r w:rsidR="00836502" w:rsidRPr="00BE10AE">
        <w:rPr>
          <w:rFonts w:ascii="Garamond" w:hAnsi="Garamond"/>
          <w:sz w:val="26"/>
          <w:szCs w:val="26"/>
        </w:rPr>
        <w:t>4th 244, 251</w:t>
      </w:r>
      <w:r w:rsidR="00D378CB" w:rsidRPr="00BE10AE">
        <w:rPr>
          <w:rFonts w:ascii="Garamond" w:hAnsi="Garamond"/>
          <w:sz w:val="26"/>
          <w:szCs w:val="26"/>
        </w:rPr>
        <w:t>-</w:t>
      </w:r>
      <w:r w:rsidR="00836502" w:rsidRPr="00BE10AE">
        <w:rPr>
          <w:rFonts w:ascii="Garamond" w:hAnsi="Garamond"/>
          <w:sz w:val="26"/>
          <w:szCs w:val="26"/>
        </w:rPr>
        <w:t>253</w:t>
      </w:r>
      <w:r w:rsidR="00D378CB" w:rsidRPr="00BE10AE">
        <w:rPr>
          <w:rFonts w:ascii="Garamond" w:hAnsi="Garamond"/>
          <w:sz w:val="26"/>
          <w:szCs w:val="26"/>
        </w:rPr>
        <w:t xml:space="preserve">.) </w:t>
      </w:r>
      <w:r w:rsidR="00BB7979" w:rsidRPr="00BE10AE">
        <w:rPr>
          <w:rFonts w:ascii="Garamond" w:hAnsi="Garamond"/>
          <w:sz w:val="26"/>
          <w:szCs w:val="26"/>
        </w:rPr>
        <w:t>Courts may not</w:t>
      </w:r>
      <w:r w:rsidRPr="00BE10AE">
        <w:rPr>
          <w:rFonts w:ascii="Garamond" w:hAnsi="Garamond"/>
          <w:sz w:val="26"/>
          <w:szCs w:val="26"/>
        </w:rPr>
        <w:t xml:space="preserve"> engage in </w:t>
      </w:r>
      <w:r w:rsidR="00836502" w:rsidRPr="00BE10AE">
        <w:rPr>
          <w:rFonts w:ascii="Garamond" w:hAnsi="Garamond"/>
          <w:sz w:val="26"/>
          <w:szCs w:val="26"/>
        </w:rPr>
        <w:t xml:space="preserve">ex parte communications with the jury outside the presence of counsel during deliberations. </w:t>
      </w:r>
      <w:r w:rsidR="00B86C8B" w:rsidRPr="00BE10AE">
        <w:rPr>
          <w:rFonts w:ascii="Garamond" w:hAnsi="Garamond"/>
          <w:sz w:val="26"/>
          <w:szCs w:val="26"/>
        </w:rPr>
        <w:t>(</w:t>
      </w:r>
      <w:r w:rsidR="00836502" w:rsidRPr="00BE10AE">
        <w:rPr>
          <w:rFonts w:ascii="Garamond" w:hAnsi="Garamond"/>
          <w:i/>
          <w:iCs/>
          <w:sz w:val="26"/>
          <w:szCs w:val="26"/>
        </w:rPr>
        <w:t>People v Bradford</w:t>
      </w:r>
      <w:r w:rsidR="00836502" w:rsidRPr="00BE10AE">
        <w:rPr>
          <w:rFonts w:ascii="Garamond" w:hAnsi="Garamond"/>
          <w:sz w:val="26"/>
          <w:szCs w:val="26"/>
        </w:rPr>
        <w:t xml:space="preserve"> (2007) 154 CA4th 1390, 1411–1415</w:t>
      </w:r>
      <w:r w:rsidR="00B86C8B" w:rsidRPr="00BE10AE">
        <w:rPr>
          <w:rFonts w:ascii="Garamond" w:hAnsi="Garamond"/>
          <w:sz w:val="26"/>
          <w:szCs w:val="26"/>
        </w:rPr>
        <w:t>.)</w:t>
      </w:r>
    </w:p>
    <w:p w14:paraId="38E587F6" w14:textId="222B3D28" w:rsidR="00345E47" w:rsidRPr="00BE10AE" w:rsidRDefault="006D58C8" w:rsidP="00F13C8E">
      <w:pPr>
        <w:spacing w:line="360" w:lineRule="auto"/>
        <w:ind w:firstLine="360"/>
        <w:contextualSpacing/>
        <w:rPr>
          <w:rFonts w:ascii="Garamond" w:hAnsi="Garamond"/>
          <w:sz w:val="26"/>
          <w:szCs w:val="26"/>
        </w:rPr>
      </w:pPr>
      <w:r w:rsidRPr="00BE10AE">
        <w:rPr>
          <w:rFonts w:ascii="Garamond" w:hAnsi="Garamond"/>
          <w:sz w:val="26"/>
          <w:szCs w:val="26"/>
        </w:rPr>
        <w:tab/>
      </w:r>
      <w:r w:rsidR="00422251" w:rsidRPr="00BE10AE">
        <w:rPr>
          <w:rFonts w:ascii="Garamond" w:hAnsi="Garamond"/>
          <w:sz w:val="26"/>
          <w:szCs w:val="26"/>
        </w:rPr>
        <w:t xml:space="preserve">Similarly, judges must not have ex parte conversations with </w:t>
      </w:r>
      <w:r w:rsidR="00345E47" w:rsidRPr="00BE10AE">
        <w:rPr>
          <w:rFonts w:ascii="Garamond" w:hAnsi="Garamond"/>
          <w:sz w:val="26"/>
          <w:szCs w:val="26"/>
        </w:rPr>
        <w:t xml:space="preserve">the prosecution. </w:t>
      </w:r>
      <w:r w:rsidR="00C73B1E" w:rsidRPr="00BE10AE">
        <w:rPr>
          <w:rFonts w:ascii="Garamond" w:hAnsi="Garamond"/>
          <w:sz w:val="26"/>
          <w:szCs w:val="26"/>
        </w:rPr>
        <w:t>The defendant “</w:t>
      </w:r>
      <w:r w:rsidR="00345E47" w:rsidRPr="00BE10AE">
        <w:rPr>
          <w:rFonts w:ascii="Garamond" w:hAnsi="Garamond"/>
          <w:sz w:val="26"/>
          <w:szCs w:val="26"/>
        </w:rPr>
        <w:t>has a due process right to an impartial trial judge under the state and federal Constitutions. The due process clause of the Fourteenth Amendment requires a fair trial in a fair tribunal before a judge with no actual bias against the defendant or interest in the outcome of the case.” (</w:t>
      </w:r>
      <w:r w:rsidR="00345E47" w:rsidRPr="00BE10AE">
        <w:rPr>
          <w:rFonts w:ascii="Garamond" w:hAnsi="Garamond"/>
          <w:i/>
          <w:iCs/>
          <w:sz w:val="26"/>
          <w:szCs w:val="26"/>
        </w:rPr>
        <w:t>People v. Guerra</w:t>
      </w:r>
      <w:r w:rsidR="00345E47" w:rsidRPr="00BE10AE">
        <w:rPr>
          <w:rFonts w:ascii="Garamond" w:hAnsi="Garamond"/>
          <w:sz w:val="26"/>
          <w:szCs w:val="26"/>
        </w:rPr>
        <w:t xml:space="preserve"> (2006) 37 Cal.4th 1067, 1111.) The California Code of Judicial Ethics sets forth ethical rules applicable to judges, and includes a rule that addresses ex parte communications: “A judge shall not initiate, permit, or consider ex parte communications, that is, any communications to or from the judge outside the presence of the parties concerning a pending . . . proceeding . . . except [listing situations inapplicable here].” (Cal. Code Jud. Ethics, canon 3B(7).) Further, “[i]f a judge receives an unauthorized ex parte communication, the judge shall make provision promptly to notify the parties of the substance of the communication and provide the parties with an opportunity to respond.” (Cal. Code Jud. Ethics, canon 3B(7)(d).)</w:t>
      </w:r>
    </w:p>
    <w:p w14:paraId="57BB6538" w14:textId="56B480FE" w:rsidR="006D58C8" w:rsidRPr="00BE10AE" w:rsidRDefault="00EC7E9C" w:rsidP="00345E47">
      <w:pPr>
        <w:spacing w:line="360" w:lineRule="auto"/>
        <w:ind w:firstLine="360"/>
        <w:contextualSpacing/>
        <w:rPr>
          <w:rFonts w:ascii="Garamond" w:hAnsi="Garamond"/>
          <w:sz w:val="26"/>
          <w:szCs w:val="26"/>
        </w:rPr>
      </w:pPr>
      <w:r w:rsidRPr="00BE10AE">
        <w:rPr>
          <w:rFonts w:ascii="Garamond" w:hAnsi="Garamond"/>
          <w:sz w:val="26"/>
          <w:szCs w:val="26"/>
        </w:rPr>
        <w:t xml:space="preserve">That said, </w:t>
      </w:r>
      <w:r w:rsidR="00912081" w:rsidRPr="00BE10AE">
        <w:rPr>
          <w:rFonts w:ascii="Garamond" w:hAnsi="Garamond"/>
          <w:sz w:val="26"/>
          <w:szCs w:val="26"/>
        </w:rPr>
        <w:t>e</w:t>
      </w:r>
      <w:r w:rsidR="00345E47" w:rsidRPr="00BE10AE">
        <w:rPr>
          <w:rFonts w:ascii="Garamond" w:hAnsi="Garamond"/>
          <w:sz w:val="26"/>
          <w:szCs w:val="26"/>
        </w:rPr>
        <w:t xml:space="preserve">ven </w:t>
      </w:r>
      <w:r w:rsidR="00912081" w:rsidRPr="00BE10AE">
        <w:rPr>
          <w:rFonts w:ascii="Garamond" w:hAnsi="Garamond"/>
          <w:sz w:val="26"/>
          <w:szCs w:val="26"/>
        </w:rPr>
        <w:t xml:space="preserve">if </w:t>
      </w:r>
      <w:r w:rsidR="00345E47" w:rsidRPr="00BE10AE">
        <w:rPr>
          <w:rFonts w:ascii="Garamond" w:hAnsi="Garamond"/>
          <w:sz w:val="26"/>
          <w:szCs w:val="26"/>
        </w:rPr>
        <w:t xml:space="preserve">the trial court </w:t>
      </w:r>
      <w:r w:rsidR="00912081" w:rsidRPr="00BE10AE">
        <w:rPr>
          <w:rFonts w:ascii="Garamond" w:hAnsi="Garamond"/>
          <w:sz w:val="26"/>
          <w:szCs w:val="26"/>
        </w:rPr>
        <w:t>has</w:t>
      </w:r>
      <w:r w:rsidR="00345E47" w:rsidRPr="00BE10AE">
        <w:rPr>
          <w:rFonts w:ascii="Garamond" w:hAnsi="Garamond"/>
          <w:sz w:val="26"/>
          <w:szCs w:val="26"/>
        </w:rPr>
        <w:t xml:space="preserve"> an ex parte </w:t>
      </w:r>
      <w:r w:rsidR="00912081" w:rsidRPr="00BE10AE">
        <w:rPr>
          <w:rFonts w:ascii="Garamond" w:hAnsi="Garamond"/>
          <w:sz w:val="26"/>
          <w:szCs w:val="26"/>
        </w:rPr>
        <w:t>conversation</w:t>
      </w:r>
      <w:r w:rsidR="00345E47" w:rsidRPr="00BE10AE">
        <w:rPr>
          <w:rFonts w:ascii="Garamond" w:hAnsi="Garamond"/>
          <w:sz w:val="26"/>
          <w:szCs w:val="26"/>
        </w:rPr>
        <w:t xml:space="preserve"> with the prosecutor, “no case authority holds that a violation of a judicial ethical rule, per se, automatically requires reversal of the ensuing judgment.” (</w:t>
      </w:r>
      <w:r w:rsidR="00345E47" w:rsidRPr="00BE10AE">
        <w:rPr>
          <w:rFonts w:ascii="Garamond" w:hAnsi="Garamond"/>
          <w:i/>
          <w:iCs/>
          <w:sz w:val="26"/>
          <w:szCs w:val="26"/>
        </w:rPr>
        <w:t>People v. Thompson</w:t>
      </w:r>
      <w:r w:rsidR="00345E47" w:rsidRPr="00BE10AE">
        <w:rPr>
          <w:rFonts w:ascii="Garamond" w:hAnsi="Garamond"/>
          <w:sz w:val="26"/>
          <w:szCs w:val="26"/>
        </w:rPr>
        <w:t xml:space="preserve"> (2016) 1 Cal.5th 1043, 1100.) </w:t>
      </w:r>
      <w:r w:rsidR="00097F4F" w:rsidRPr="00BE10AE">
        <w:rPr>
          <w:rFonts w:ascii="Garamond" w:hAnsi="Garamond"/>
          <w:sz w:val="26"/>
          <w:szCs w:val="26"/>
        </w:rPr>
        <w:t>The reviewing court’s</w:t>
      </w:r>
      <w:r w:rsidR="00345E47" w:rsidRPr="00BE10AE">
        <w:rPr>
          <w:rFonts w:ascii="Garamond" w:hAnsi="Garamond"/>
          <w:sz w:val="26"/>
          <w:szCs w:val="26"/>
        </w:rPr>
        <w:t xml:space="preserve"> role</w:t>
      </w:r>
      <w:r w:rsidR="00097F4F" w:rsidRPr="00BE10AE">
        <w:rPr>
          <w:rFonts w:ascii="Garamond" w:hAnsi="Garamond"/>
          <w:sz w:val="26"/>
          <w:szCs w:val="26"/>
        </w:rPr>
        <w:t xml:space="preserve"> “</w:t>
      </w:r>
      <w:r w:rsidR="00345E47" w:rsidRPr="00BE10AE">
        <w:rPr>
          <w:rFonts w:ascii="Garamond" w:hAnsi="Garamond"/>
          <w:sz w:val="26"/>
          <w:szCs w:val="26"/>
        </w:rPr>
        <w:t xml:space="preserve">is not to determine whether the trial judge’s conduct left something to be desired, or even whether some comments would have been better left unsaid. Rather, </w:t>
      </w:r>
      <w:r w:rsidR="00097F4F" w:rsidRPr="00BE10AE">
        <w:rPr>
          <w:rFonts w:ascii="Garamond" w:hAnsi="Garamond"/>
          <w:sz w:val="26"/>
          <w:szCs w:val="26"/>
        </w:rPr>
        <w:t>[the court]</w:t>
      </w:r>
      <w:r w:rsidR="00345E47" w:rsidRPr="00BE10AE">
        <w:rPr>
          <w:rFonts w:ascii="Garamond" w:hAnsi="Garamond"/>
          <w:sz w:val="26"/>
          <w:szCs w:val="26"/>
        </w:rPr>
        <w:t xml:space="preserve"> must determine whether the judge’s behavior was so prejudicial that it denied [the defendant] a fair, as opposed to a perfect, trial</w:t>
      </w:r>
      <w:r w:rsidR="00097F4F" w:rsidRPr="00BE10AE">
        <w:rPr>
          <w:rFonts w:ascii="Garamond" w:hAnsi="Garamond"/>
          <w:sz w:val="26"/>
          <w:szCs w:val="26"/>
        </w:rPr>
        <w:t>.”</w:t>
      </w:r>
      <w:r w:rsidR="00345E47" w:rsidRPr="00BE10AE">
        <w:rPr>
          <w:rFonts w:ascii="Garamond" w:hAnsi="Garamond"/>
          <w:sz w:val="26"/>
          <w:szCs w:val="26"/>
        </w:rPr>
        <w:t xml:space="preserve"> (</w:t>
      </w:r>
      <w:r w:rsidR="00345E47" w:rsidRPr="00BE10AE">
        <w:rPr>
          <w:rFonts w:ascii="Garamond" w:hAnsi="Garamond"/>
          <w:i/>
          <w:iCs/>
          <w:sz w:val="26"/>
          <w:szCs w:val="26"/>
        </w:rPr>
        <w:t>People v. Abel</w:t>
      </w:r>
      <w:r w:rsidR="00345E47" w:rsidRPr="00BE10AE">
        <w:rPr>
          <w:rFonts w:ascii="Garamond" w:hAnsi="Garamond"/>
          <w:sz w:val="26"/>
          <w:szCs w:val="26"/>
        </w:rPr>
        <w:t xml:space="preserve"> (2012) 53 Cal.4th 891, 914.) </w:t>
      </w:r>
      <w:r w:rsidR="00404576" w:rsidRPr="00BE10AE">
        <w:rPr>
          <w:rFonts w:ascii="Garamond" w:hAnsi="Garamond"/>
          <w:sz w:val="26"/>
          <w:szCs w:val="26"/>
        </w:rPr>
        <w:t>Courts decide this</w:t>
      </w:r>
      <w:r w:rsidR="00345E47" w:rsidRPr="00BE10AE">
        <w:rPr>
          <w:rFonts w:ascii="Garamond" w:hAnsi="Garamond"/>
          <w:sz w:val="26"/>
          <w:szCs w:val="26"/>
        </w:rPr>
        <w:t xml:space="preserve"> on “a case-by-case basis, examining the context of the court’s comments and the circumstances under which they occurred.</w:t>
      </w:r>
      <w:r w:rsidR="00404576" w:rsidRPr="00BE10AE">
        <w:rPr>
          <w:rFonts w:ascii="Garamond" w:hAnsi="Garamond"/>
          <w:sz w:val="26"/>
          <w:szCs w:val="26"/>
        </w:rPr>
        <w:t xml:space="preserve">” </w:t>
      </w:r>
      <w:r w:rsidR="008A29B7" w:rsidRPr="00BE10AE">
        <w:rPr>
          <w:rFonts w:ascii="Garamond" w:hAnsi="Garamond"/>
          <w:sz w:val="26"/>
          <w:szCs w:val="26"/>
        </w:rPr>
        <w:t>(</w:t>
      </w:r>
      <w:r w:rsidR="008A29B7" w:rsidRPr="00BE10AE">
        <w:rPr>
          <w:rFonts w:ascii="Garamond" w:hAnsi="Garamond"/>
          <w:i/>
          <w:iCs/>
          <w:sz w:val="26"/>
          <w:szCs w:val="26"/>
        </w:rPr>
        <w:t>Ibid</w:t>
      </w:r>
      <w:r w:rsidR="008A29B7" w:rsidRPr="00BE10AE">
        <w:rPr>
          <w:rFonts w:ascii="Garamond" w:hAnsi="Garamond"/>
          <w:sz w:val="26"/>
          <w:szCs w:val="26"/>
        </w:rPr>
        <w:t xml:space="preserve">.) </w:t>
      </w:r>
      <w:r w:rsidR="00404576" w:rsidRPr="00BE10AE">
        <w:rPr>
          <w:rFonts w:ascii="Garamond" w:hAnsi="Garamond"/>
          <w:sz w:val="26"/>
          <w:szCs w:val="26"/>
        </w:rPr>
        <w:t xml:space="preserve">Still, appellate counsel should be on the lookout for ex parte communications. </w:t>
      </w:r>
    </w:p>
    <w:p w14:paraId="65C56C22" w14:textId="7712FBB5" w:rsidR="008A29B7" w:rsidRPr="00BE10AE" w:rsidRDefault="009F4EE4" w:rsidP="003B38D1">
      <w:pPr>
        <w:pStyle w:val="ListParagraph"/>
        <w:numPr>
          <w:ilvl w:val="0"/>
          <w:numId w:val="2"/>
        </w:numPr>
        <w:spacing w:line="360" w:lineRule="auto"/>
        <w:rPr>
          <w:rFonts w:ascii="Garamond" w:hAnsi="Garamond"/>
          <w:b/>
          <w:bCs/>
          <w:sz w:val="26"/>
          <w:szCs w:val="26"/>
        </w:rPr>
      </w:pPr>
      <w:r w:rsidRPr="00BE10AE">
        <w:rPr>
          <w:rFonts w:ascii="Garamond" w:hAnsi="Garamond"/>
          <w:b/>
          <w:bCs/>
          <w:sz w:val="26"/>
          <w:szCs w:val="26"/>
        </w:rPr>
        <w:t>Conclusion</w:t>
      </w:r>
    </w:p>
    <w:p w14:paraId="2E4F5720" w14:textId="007E0E67" w:rsidR="009F4EE4" w:rsidRPr="00BE10AE" w:rsidRDefault="009F4EE4" w:rsidP="00345E47">
      <w:pPr>
        <w:spacing w:line="360" w:lineRule="auto"/>
        <w:ind w:firstLine="360"/>
        <w:contextualSpacing/>
        <w:rPr>
          <w:rFonts w:ascii="Garamond" w:hAnsi="Garamond"/>
          <w:sz w:val="26"/>
          <w:szCs w:val="26"/>
        </w:rPr>
      </w:pPr>
      <w:r w:rsidRPr="00BE10AE">
        <w:rPr>
          <w:rFonts w:ascii="Garamond" w:hAnsi="Garamond"/>
          <w:sz w:val="26"/>
          <w:szCs w:val="26"/>
        </w:rPr>
        <w:t xml:space="preserve">Judges have tremendous power over our clients’ lives, and while most judges are fair, smart, and compassionate people who truly are looking to do justice, </w:t>
      </w:r>
      <w:r w:rsidR="00DF448C" w:rsidRPr="00BE10AE">
        <w:rPr>
          <w:rFonts w:ascii="Garamond" w:hAnsi="Garamond"/>
          <w:sz w:val="26"/>
          <w:szCs w:val="26"/>
        </w:rPr>
        <w:t>everyone makes mistakes sometimes. Everyone</w:t>
      </w:r>
      <w:r w:rsidR="00C37639">
        <w:rPr>
          <w:rFonts w:ascii="Garamond" w:hAnsi="Garamond"/>
          <w:sz w:val="26"/>
          <w:szCs w:val="26"/>
        </w:rPr>
        <w:t xml:space="preserve"> at times</w:t>
      </w:r>
      <w:r w:rsidR="00DF448C" w:rsidRPr="00BE10AE">
        <w:rPr>
          <w:rFonts w:ascii="Garamond" w:hAnsi="Garamond"/>
          <w:sz w:val="26"/>
          <w:szCs w:val="26"/>
        </w:rPr>
        <w:t xml:space="preserve"> succumbs to the pressures of working in a criminal justice system designed to ensure </w:t>
      </w:r>
      <w:r w:rsidR="00D54E1F" w:rsidRPr="00BE10AE">
        <w:rPr>
          <w:rFonts w:ascii="Garamond" w:hAnsi="Garamond"/>
          <w:sz w:val="26"/>
          <w:szCs w:val="26"/>
        </w:rPr>
        <w:t xml:space="preserve">speedy convictions. As appellate counsel, it’s our job to make sure our clients’ rights don’t get trampled in the process. </w:t>
      </w:r>
      <w:r w:rsidR="00632C6D">
        <w:rPr>
          <w:rFonts w:ascii="Garamond" w:hAnsi="Garamond"/>
          <w:sz w:val="26"/>
          <w:szCs w:val="26"/>
        </w:rPr>
        <w:t>So pay attention to those</w:t>
      </w:r>
      <w:r w:rsidR="00183DD9" w:rsidRPr="00BE10AE">
        <w:rPr>
          <w:rFonts w:ascii="Garamond" w:hAnsi="Garamond"/>
          <w:sz w:val="26"/>
          <w:szCs w:val="26"/>
        </w:rPr>
        <w:t xml:space="preserve"> times when the judge seems to throw his weight around a little too much or abandons her role as a neutral arbiter in favor of </w:t>
      </w:r>
      <w:r w:rsidR="003B38D1" w:rsidRPr="00BE10AE">
        <w:rPr>
          <w:rFonts w:ascii="Garamond" w:hAnsi="Garamond"/>
          <w:sz w:val="26"/>
          <w:szCs w:val="26"/>
        </w:rPr>
        <w:t>the role of advocate.</w:t>
      </w:r>
      <w:r w:rsidR="00632C6D">
        <w:rPr>
          <w:rFonts w:ascii="Garamond" w:hAnsi="Garamond"/>
          <w:sz w:val="26"/>
          <w:szCs w:val="26"/>
        </w:rPr>
        <w:t xml:space="preserve"> It may ultimately result in a win for your client.</w:t>
      </w:r>
      <w:r w:rsidR="003B38D1" w:rsidRPr="00BE10AE">
        <w:rPr>
          <w:rFonts w:ascii="Garamond" w:hAnsi="Garamond"/>
          <w:sz w:val="26"/>
          <w:szCs w:val="26"/>
        </w:rPr>
        <w:t xml:space="preserve"> </w:t>
      </w:r>
    </w:p>
    <w:sectPr w:rsidR="009F4EE4" w:rsidRPr="00BE10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26CE4" w14:textId="77777777" w:rsidR="00361DC7" w:rsidRDefault="00361DC7" w:rsidP="00F66F62">
      <w:pPr>
        <w:spacing w:after="0" w:line="240" w:lineRule="auto"/>
      </w:pPr>
      <w:r>
        <w:separator/>
      </w:r>
    </w:p>
  </w:endnote>
  <w:endnote w:type="continuationSeparator" w:id="0">
    <w:p w14:paraId="090F5051" w14:textId="77777777" w:rsidR="00361DC7" w:rsidRDefault="00361DC7" w:rsidP="00F6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1479493812"/>
      <w:docPartObj>
        <w:docPartGallery w:val="Page Numbers (Bottom of Page)"/>
        <w:docPartUnique/>
      </w:docPartObj>
    </w:sdtPr>
    <w:sdtEndPr>
      <w:rPr>
        <w:noProof/>
      </w:rPr>
    </w:sdtEndPr>
    <w:sdtContent>
      <w:p w14:paraId="0C04D450" w14:textId="4BEF0821" w:rsidR="00A81584" w:rsidRPr="00A81584" w:rsidRDefault="00A81584">
        <w:pPr>
          <w:pStyle w:val="Footer"/>
          <w:jc w:val="center"/>
          <w:rPr>
            <w:rFonts w:ascii="Garamond" w:hAnsi="Garamond"/>
          </w:rPr>
        </w:pPr>
        <w:r w:rsidRPr="00A81584">
          <w:rPr>
            <w:rFonts w:ascii="Garamond" w:hAnsi="Garamond"/>
          </w:rPr>
          <w:fldChar w:fldCharType="begin"/>
        </w:r>
        <w:r w:rsidRPr="00A81584">
          <w:rPr>
            <w:rFonts w:ascii="Garamond" w:hAnsi="Garamond"/>
          </w:rPr>
          <w:instrText xml:space="preserve"> PAGE   \* MERGEFORMAT </w:instrText>
        </w:r>
        <w:r w:rsidRPr="00A81584">
          <w:rPr>
            <w:rFonts w:ascii="Garamond" w:hAnsi="Garamond"/>
          </w:rPr>
          <w:fldChar w:fldCharType="separate"/>
        </w:r>
        <w:r w:rsidR="00586C17">
          <w:rPr>
            <w:rFonts w:ascii="Garamond" w:hAnsi="Garamond"/>
            <w:noProof/>
          </w:rPr>
          <w:t>2</w:t>
        </w:r>
        <w:r w:rsidRPr="00A81584">
          <w:rPr>
            <w:rFonts w:ascii="Garamond" w:hAnsi="Garamond"/>
            <w:noProof/>
          </w:rPr>
          <w:fldChar w:fldCharType="end"/>
        </w:r>
      </w:p>
    </w:sdtContent>
  </w:sdt>
  <w:p w14:paraId="4E41D5EB" w14:textId="77777777" w:rsidR="00A81584" w:rsidRPr="00A81584" w:rsidRDefault="00A81584">
    <w:pPr>
      <w:pStyle w:val="Foote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882A2" w14:textId="77777777" w:rsidR="00361DC7" w:rsidRDefault="00361DC7" w:rsidP="00F66F62">
      <w:pPr>
        <w:spacing w:after="0" w:line="240" w:lineRule="auto"/>
      </w:pPr>
      <w:r>
        <w:separator/>
      </w:r>
    </w:p>
  </w:footnote>
  <w:footnote w:type="continuationSeparator" w:id="0">
    <w:p w14:paraId="3DAB536E" w14:textId="77777777" w:rsidR="00361DC7" w:rsidRDefault="00361DC7" w:rsidP="00F66F62">
      <w:pPr>
        <w:spacing w:after="0" w:line="240" w:lineRule="auto"/>
      </w:pPr>
      <w:r>
        <w:continuationSeparator/>
      </w:r>
    </w:p>
  </w:footnote>
  <w:footnote w:id="1">
    <w:p w14:paraId="4EB0332E" w14:textId="05E692D0" w:rsidR="008E4DCB" w:rsidRPr="00DE2805" w:rsidRDefault="008E4DCB" w:rsidP="00FF0D81">
      <w:pPr>
        <w:spacing w:line="240" w:lineRule="auto"/>
        <w:contextualSpacing/>
        <w:rPr>
          <w:rFonts w:ascii="Garamond" w:hAnsi="Garamond"/>
        </w:rPr>
      </w:pPr>
      <w:r w:rsidRPr="00DE2805">
        <w:rPr>
          <w:rStyle w:val="FootnoteReference"/>
          <w:rFonts w:ascii="Garamond" w:hAnsi="Garamond"/>
        </w:rPr>
        <w:footnoteRef/>
      </w:r>
      <w:r w:rsidRPr="00DE2805">
        <w:rPr>
          <w:rFonts w:ascii="Garamond" w:hAnsi="Garamond"/>
        </w:rPr>
        <w:t xml:space="preserve"> The </w:t>
      </w:r>
      <w:r w:rsidR="004C1DEA" w:rsidRPr="00DE2805">
        <w:rPr>
          <w:rFonts w:ascii="Garamond" w:hAnsi="Garamond"/>
        </w:rPr>
        <w:t>situation</w:t>
      </w:r>
      <w:r w:rsidRPr="00DE2805">
        <w:rPr>
          <w:rFonts w:ascii="Garamond" w:hAnsi="Garamond"/>
        </w:rPr>
        <w:t xml:space="preserve"> is different when the prosecutor </w:t>
      </w:r>
      <w:r w:rsidR="00224225" w:rsidRPr="00DE2805">
        <w:rPr>
          <w:rFonts w:ascii="Garamond" w:hAnsi="Garamond"/>
        </w:rPr>
        <w:t xml:space="preserve">requires a return provision or a </w:t>
      </w:r>
      <w:r w:rsidRPr="00DE2805">
        <w:rPr>
          <w:rFonts w:ascii="Garamond" w:hAnsi="Garamond"/>
          <w:i/>
          <w:iCs/>
        </w:rPr>
        <w:t>Cruz</w:t>
      </w:r>
      <w:r w:rsidRPr="00DE2805">
        <w:rPr>
          <w:rFonts w:ascii="Garamond" w:hAnsi="Garamond"/>
        </w:rPr>
        <w:t xml:space="preserve"> waiver as part of the original plea bargain. </w:t>
      </w:r>
      <w:r w:rsidR="00BF77A0" w:rsidRPr="00DE2805">
        <w:rPr>
          <w:rFonts w:ascii="Garamond" w:hAnsi="Garamond"/>
        </w:rPr>
        <w:t xml:space="preserve">In that case, the </w:t>
      </w:r>
      <w:r w:rsidR="004D52D6" w:rsidRPr="00DE2805">
        <w:rPr>
          <w:rFonts w:ascii="Garamond" w:hAnsi="Garamond"/>
        </w:rPr>
        <w:t xml:space="preserve">provision is valid. </w:t>
      </w:r>
      <w:r w:rsidRPr="00DE2805">
        <w:rPr>
          <w:rFonts w:ascii="Garamond" w:hAnsi="Garamond"/>
        </w:rPr>
        <w:t>(</w:t>
      </w:r>
      <w:r w:rsidRPr="00DE2805">
        <w:rPr>
          <w:rFonts w:ascii="Garamond" w:hAnsi="Garamond"/>
          <w:i/>
          <w:iCs/>
        </w:rPr>
        <w:t>People v. Vargas</w:t>
      </w:r>
      <w:r w:rsidRPr="00DE2805">
        <w:rPr>
          <w:rFonts w:ascii="Garamond" w:hAnsi="Garamond"/>
        </w:rPr>
        <w:t xml:space="preserve"> (2007) 148 Cal. App. 4th 644.) </w:t>
      </w:r>
    </w:p>
    <w:p w14:paraId="412273EA" w14:textId="58A84AA5" w:rsidR="008E4DCB" w:rsidRPr="00DE2805" w:rsidRDefault="008E4DCB">
      <w:pPr>
        <w:pStyle w:val="FootnoteText"/>
        <w:rPr>
          <w:rFonts w:ascii="Garamond" w:hAnsi="Garamond"/>
          <w:sz w:val="22"/>
          <w:szCs w:val="22"/>
        </w:rPr>
      </w:pPr>
    </w:p>
  </w:footnote>
  <w:footnote w:id="2">
    <w:p w14:paraId="55FB6D51" w14:textId="08A00AF6" w:rsidR="00077817" w:rsidRPr="00DE2805" w:rsidRDefault="00077817">
      <w:pPr>
        <w:pStyle w:val="FootnoteText"/>
        <w:rPr>
          <w:rFonts w:ascii="Garamond" w:hAnsi="Garamond"/>
          <w:sz w:val="22"/>
          <w:szCs w:val="22"/>
        </w:rPr>
      </w:pPr>
      <w:r w:rsidRPr="00DE2805">
        <w:rPr>
          <w:rStyle w:val="FootnoteReference"/>
          <w:rFonts w:ascii="Garamond" w:hAnsi="Garamond"/>
          <w:sz w:val="22"/>
          <w:szCs w:val="22"/>
        </w:rPr>
        <w:footnoteRef/>
      </w:r>
      <w:r w:rsidRPr="00DE2805">
        <w:rPr>
          <w:rFonts w:ascii="Garamond" w:hAnsi="Garamond"/>
          <w:sz w:val="22"/>
          <w:szCs w:val="22"/>
        </w:rPr>
        <w:t xml:space="preserve"> Seriously, talk to Anna about this case. It was crazy even beyond the </w:t>
      </w:r>
      <w:r w:rsidR="00DE2805" w:rsidRPr="00DE2805">
        <w:rPr>
          <w:rFonts w:ascii="Garamond" w:hAnsi="Garamond"/>
          <w:sz w:val="22"/>
          <w:szCs w:val="22"/>
        </w:rPr>
        <w:t>judicial misconduct.</w:t>
      </w:r>
    </w:p>
  </w:footnote>
  <w:footnote w:id="3">
    <w:p w14:paraId="7FD1A3C8" w14:textId="4C13D77F" w:rsidR="00F66F62" w:rsidRPr="00DE2805" w:rsidRDefault="00F66F62">
      <w:pPr>
        <w:pStyle w:val="FootnoteText"/>
        <w:rPr>
          <w:rFonts w:ascii="Garamond" w:hAnsi="Garamond"/>
          <w:sz w:val="22"/>
          <w:szCs w:val="22"/>
        </w:rPr>
      </w:pPr>
      <w:r w:rsidRPr="00DE2805">
        <w:rPr>
          <w:rStyle w:val="FootnoteReference"/>
          <w:rFonts w:ascii="Garamond" w:hAnsi="Garamond"/>
          <w:sz w:val="22"/>
          <w:szCs w:val="22"/>
        </w:rPr>
        <w:footnoteRef/>
      </w:r>
      <w:r w:rsidRPr="00DE2805">
        <w:rPr>
          <w:rFonts w:ascii="Garamond" w:hAnsi="Garamond"/>
          <w:sz w:val="22"/>
          <w:szCs w:val="22"/>
        </w:rPr>
        <w:t xml:space="preserve"> If you want a good chuckle, spend an afternoon reviewing </w:t>
      </w:r>
      <w:r w:rsidR="001A4B65" w:rsidRPr="00DE2805">
        <w:rPr>
          <w:rFonts w:ascii="Garamond" w:hAnsi="Garamond"/>
          <w:sz w:val="22"/>
          <w:szCs w:val="22"/>
        </w:rPr>
        <w:t xml:space="preserve">cases from the Commission on Judicial Performance. </w:t>
      </w:r>
      <w:r w:rsidR="00486B53" w:rsidRPr="00DE2805">
        <w:rPr>
          <w:rFonts w:ascii="Garamond" w:hAnsi="Garamond"/>
          <w:sz w:val="22"/>
          <w:szCs w:val="22"/>
        </w:rPr>
        <w:t>You</w:t>
      </w:r>
      <w:r w:rsidR="00345E47" w:rsidRPr="00DE2805">
        <w:rPr>
          <w:rFonts w:ascii="Garamond" w:hAnsi="Garamond"/>
          <w:sz w:val="22"/>
          <w:szCs w:val="22"/>
        </w:rPr>
        <w:t>’</w:t>
      </w:r>
      <w:r w:rsidR="00486B53" w:rsidRPr="00DE2805">
        <w:rPr>
          <w:rFonts w:ascii="Garamond" w:hAnsi="Garamond"/>
          <w:sz w:val="22"/>
          <w:szCs w:val="22"/>
        </w:rPr>
        <w:t>ll find things like a judge telling</w:t>
      </w:r>
      <w:r w:rsidR="00940F2C" w:rsidRPr="00DE2805">
        <w:rPr>
          <w:rFonts w:ascii="Garamond" w:hAnsi="Garamond"/>
          <w:sz w:val="22"/>
          <w:szCs w:val="22"/>
        </w:rPr>
        <w:t xml:space="preserve"> jurors in a bicycling</w:t>
      </w:r>
      <w:r w:rsidR="00A678EA" w:rsidRPr="00DE2805">
        <w:rPr>
          <w:rFonts w:ascii="Garamond" w:hAnsi="Garamond"/>
          <w:sz w:val="22"/>
          <w:szCs w:val="22"/>
        </w:rPr>
        <w:t>-</w:t>
      </w:r>
      <w:r w:rsidR="00940F2C" w:rsidRPr="00DE2805">
        <w:rPr>
          <w:rFonts w:ascii="Garamond" w:hAnsi="Garamond"/>
          <w:sz w:val="22"/>
          <w:szCs w:val="22"/>
        </w:rPr>
        <w:t>while</w:t>
      </w:r>
      <w:r w:rsidR="00A678EA" w:rsidRPr="00DE2805">
        <w:rPr>
          <w:rFonts w:ascii="Garamond" w:hAnsi="Garamond"/>
          <w:sz w:val="22"/>
          <w:szCs w:val="22"/>
        </w:rPr>
        <w:t>-</w:t>
      </w:r>
      <w:r w:rsidR="00940F2C" w:rsidRPr="00DE2805">
        <w:rPr>
          <w:rFonts w:ascii="Garamond" w:hAnsi="Garamond"/>
          <w:sz w:val="22"/>
          <w:szCs w:val="22"/>
        </w:rPr>
        <w:t xml:space="preserve">intoxicated trial, </w:t>
      </w:r>
      <w:r w:rsidR="00345E47" w:rsidRPr="00DE2805">
        <w:rPr>
          <w:rFonts w:ascii="Garamond" w:hAnsi="Garamond"/>
          <w:sz w:val="22"/>
          <w:szCs w:val="22"/>
        </w:rPr>
        <w:t>“</w:t>
      </w:r>
      <w:r w:rsidR="007C4B26" w:rsidRPr="00DE2805">
        <w:rPr>
          <w:rFonts w:ascii="Garamond" w:hAnsi="Garamond"/>
          <w:sz w:val="22"/>
          <w:szCs w:val="22"/>
        </w:rPr>
        <w:t>Ladies and gentlemen, I want you to go in that room and find the defendant guilty.</w:t>
      </w:r>
      <w:r w:rsidR="00345E47" w:rsidRPr="00DE2805">
        <w:rPr>
          <w:rFonts w:ascii="Garamond" w:hAnsi="Garamond"/>
          <w:sz w:val="22"/>
          <w:szCs w:val="22"/>
        </w:rPr>
        <w:t>”</w:t>
      </w:r>
      <w:r w:rsidR="00C069D2" w:rsidRPr="00DE2805">
        <w:rPr>
          <w:rFonts w:ascii="Garamond" w:hAnsi="Garamond"/>
          <w:sz w:val="22"/>
          <w:szCs w:val="22"/>
        </w:rPr>
        <w:t xml:space="preserve"> </w:t>
      </w:r>
      <w:r w:rsidR="00A64F71" w:rsidRPr="00DE2805">
        <w:rPr>
          <w:rFonts w:ascii="Garamond" w:hAnsi="Garamond"/>
          <w:sz w:val="22"/>
          <w:szCs w:val="22"/>
        </w:rPr>
        <w:t>(</w:t>
      </w:r>
      <w:r w:rsidR="00D8624D" w:rsidRPr="00DE2805">
        <w:rPr>
          <w:rFonts w:ascii="Garamond" w:hAnsi="Garamond"/>
          <w:i/>
          <w:iCs/>
          <w:sz w:val="22"/>
          <w:szCs w:val="22"/>
        </w:rPr>
        <w:t>McCullough v. Commission on Judicial Performance</w:t>
      </w:r>
      <w:r w:rsidR="00D8624D" w:rsidRPr="00DE2805">
        <w:rPr>
          <w:rFonts w:ascii="Garamond" w:hAnsi="Garamond"/>
          <w:sz w:val="22"/>
          <w:szCs w:val="22"/>
        </w:rPr>
        <w:t>, 49 Cal. 3d 186</w:t>
      </w:r>
      <w:r w:rsidR="00C069D2" w:rsidRPr="00DE2805">
        <w:rPr>
          <w:rFonts w:ascii="Garamond" w:hAnsi="Garamond"/>
          <w:sz w:val="22"/>
          <w:szCs w:val="22"/>
        </w:rPr>
        <w:t>, 191-192.</w:t>
      </w:r>
      <w:r w:rsidR="00A64F71" w:rsidRPr="00DE2805">
        <w:rPr>
          <w:rFonts w:ascii="Garamond" w:hAnsi="Garamond"/>
          <w:sz w:val="22"/>
          <w:szCs w:val="22"/>
        </w:rPr>
        <w:t>)</w:t>
      </w:r>
      <w:r w:rsidR="00C069D2" w:rsidRPr="00DE2805">
        <w:rPr>
          <w:rFonts w:ascii="Garamond" w:hAnsi="Garamond"/>
          <w:sz w:val="22"/>
          <w:szCs w:val="22"/>
        </w:rPr>
        <w:t xml:space="preserve"> When the jurors took a whole five minutes to fill out the verdict form, the judge said, </w:t>
      </w:r>
      <w:r w:rsidR="00345E47" w:rsidRPr="00DE2805">
        <w:rPr>
          <w:rFonts w:ascii="Garamond" w:hAnsi="Garamond"/>
          <w:sz w:val="22"/>
          <w:szCs w:val="22"/>
        </w:rPr>
        <w:t>“</w:t>
      </w:r>
      <w:r w:rsidR="001140EE" w:rsidRPr="00DE2805">
        <w:rPr>
          <w:rFonts w:ascii="Garamond" w:hAnsi="Garamond"/>
          <w:sz w:val="22"/>
          <w:szCs w:val="22"/>
        </w:rPr>
        <w:t>For a while there, ladies and gentlemen, I thought you were not going to follow my instructions.</w:t>
      </w:r>
      <w:r w:rsidR="00345E47" w:rsidRPr="00DE2805">
        <w:rPr>
          <w:rFonts w:ascii="Garamond" w:hAnsi="Garamond"/>
          <w:sz w:val="22"/>
          <w:szCs w:val="22"/>
        </w:rPr>
        <w:t>”</w:t>
      </w:r>
      <w:r w:rsidR="001140EE" w:rsidRPr="00DE2805">
        <w:rPr>
          <w:rFonts w:ascii="Garamond" w:hAnsi="Garamond"/>
          <w:sz w:val="22"/>
          <w:szCs w:val="22"/>
        </w:rPr>
        <w:t xml:space="preserve"> </w:t>
      </w:r>
      <w:r w:rsidR="00A64F71" w:rsidRPr="00DE2805">
        <w:rPr>
          <w:rFonts w:ascii="Garamond" w:hAnsi="Garamond"/>
          <w:sz w:val="22"/>
          <w:szCs w:val="22"/>
        </w:rPr>
        <w:t>(</w:t>
      </w:r>
      <w:r w:rsidR="00A64F71" w:rsidRPr="00DE2805">
        <w:rPr>
          <w:rFonts w:ascii="Garamond" w:hAnsi="Garamond"/>
          <w:i/>
          <w:iCs/>
          <w:sz w:val="22"/>
          <w:szCs w:val="22"/>
        </w:rPr>
        <w:t>Ibid</w:t>
      </w:r>
      <w:r w:rsidR="00A64F71" w:rsidRPr="00DE2805">
        <w:rPr>
          <w:rFonts w:ascii="Garamond" w:hAnsi="Garamond"/>
          <w:sz w:val="22"/>
          <w:szCs w:val="22"/>
        </w:rPr>
        <w:t>.) The Supreme Court</w:t>
      </w:r>
      <w:r w:rsidR="00CF5EF4" w:rsidRPr="00DE2805">
        <w:rPr>
          <w:rFonts w:ascii="Garamond" w:hAnsi="Garamond"/>
          <w:sz w:val="22"/>
          <w:szCs w:val="22"/>
        </w:rPr>
        <w:t xml:space="preserve"> found this was improper. </w:t>
      </w:r>
      <w:r w:rsidR="00A678EA" w:rsidRPr="00DE2805">
        <w:rPr>
          <w:rFonts w:ascii="Garamond" w:hAnsi="Garamond"/>
          <w:sz w:val="22"/>
          <w:szCs w:val="22"/>
        </w:rPr>
        <w:t>J</w:t>
      </w:r>
      <w:r w:rsidR="00CF5EF4" w:rsidRPr="00DE2805">
        <w:rPr>
          <w:rFonts w:ascii="Garamond" w:hAnsi="Garamond"/>
          <w:sz w:val="22"/>
          <w:szCs w:val="22"/>
        </w:rPr>
        <w:t>udge McCullough</w:t>
      </w:r>
      <w:r w:rsidR="00345E47" w:rsidRPr="00DE2805">
        <w:rPr>
          <w:rFonts w:ascii="Garamond" w:hAnsi="Garamond"/>
          <w:sz w:val="22"/>
          <w:szCs w:val="22"/>
        </w:rPr>
        <w:t>’</w:t>
      </w:r>
      <w:r w:rsidR="00CF5EF4" w:rsidRPr="00DE2805">
        <w:rPr>
          <w:rFonts w:ascii="Garamond" w:hAnsi="Garamond"/>
          <w:sz w:val="22"/>
          <w:szCs w:val="22"/>
        </w:rPr>
        <w:t xml:space="preserve">s defense: </w:t>
      </w:r>
      <w:r w:rsidR="00843508" w:rsidRPr="00DE2805">
        <w:rPr>
          <w:rFonts w:ascii="Garamond" w:hAnsi="Garamond"/>
          <w:sz w:val="22"/>
          <w:szCs w:val="22"/>
        </w:rPr>
        <w:t xml:space="preserve">he thought he was allowed to direct a verdict. Ignorance of the law, however, is no excuse. </w:t>
      </w:r>
      <w:r w:rsidR="00324A07" w:rsidRPr="00DE2805">
        <w:rPr>
          <w:rFonts w:ascii="Garamond" w:hAnsi="Garamond"/>
          <w:sz w:val="22"/>
          <w:szCs w:val="22"/>
        </w:rPr>
        <w:t>(</w:t>
      </w:r>
      <w:r w:rsidR="00CF2F60" w:rsidRPr="00767E8F">
        <w:rPr>
          <w:rFonts w:ascii="Garamond" w:hAnsi="Garamond"/>
          <w:i/>
          <w:iCs/>
          <w:sz w:val="22"/>
          <w:szCs w:val="22"/>
        </w:rPr>
        <w:t>Gonzalez v. Commission on Judicial Performance</w:t>
      </w:r>
      <w:r w:rsidR="00CF2F60" w:rsidRPr="00DE2805">
        <w:rPr>
          <w:rFonts w:ascii="Garamond" w:hAnsi="Garamond"/>
          <w:sz w:val="22"/>
          <w:szCs w:val="22"/>
        </w:rPr>
        <w:t xml:space="preserve"> (1983) 33 Cal. 3d 359, 369 [</w:t>
      </w:r>
      <w:r w:rsidR="00345E47" w:rsidRPr="00DE2805">
        <w:rPr>
          <w:rFonts w:ascii="Garamond" w:hAnsi="Garamond"/>
          <w:sz w:val="22"/>
          <w:szCs w:val="22"/>
        </w:rPr>
        <w:t>“</w:t>
      </w:r>
      <w:r w:rsidR="00CF2F60" w:rsidRPr="00DE2805">
        <w:rPr>
          <w:rFonts w:ascii="Garamond" w:hAnsi="Garamond"/>
          <w:sz w:val="22"/>
          <w:szCs w:val="22"/>
        </w:rPr>
        <w:t>Petitioner</w:t>
      </w:r>
      <w:r w:rsidR="00345E47" w:rsidRPr="00DE2805">
        <w:rPr>
          <w:rFonts w:ascii="Garamond" w:hAnsi="Garamond"/>
          <w:sz w:val="22"/>
          <w:szCs w:val="22"/>
        </w:rPr>
        <w:t>’</w:t>
      </w:r>
      <w:r w:rsidR="00CF2F60" w:rsidRPr="00DE2805">
        <w:rPr>
          <w:rFonts w:ascii="Garamond" w:hAnsi="Garamond"/>
          <w:sz w:val="22"/>
          <w:szCs w:val="22"/>
        </w:rPr>
        <w:t>s patent misunderstanding of the nature of his judicial responsibility serves not to mitigate but to aggravate the severity of his misconduct.</w:t>
      </w:r>
      <w:r w:rsidR="00345E47" w:rsidRPr="00DE2805">
        <w:rPr>
          <w:rFonts w:ascii="Garamond" w:hAnsi="Garamond"/>
          <w:sz w:val="22"/>
          <w:szCs w:val="22"/>
        </w:rPr>
        <w:t>”</w:t>
      </w:r>
      <w:r w:rsidR="00CF2F60" w:rsidRPr="00DE2805">
        <w:rPr>
          <w:rFonts w:ascii="Garamond" w:hAnsi="Garamond"/>
          <w:sz w:val="22"/>
          <w:szCs w:val="22"/>
        </w:rPr>
        <w:t>].)</w:t>
      </w:r>
    </w:p>
  </w:footnote>
  <w:footnote w:id="4">
    <w:p w14:paraId="12628C1B" w14:textId="57024E58" w:rsidR="001878F6" w:rsidRPr="00DE2805" w:rsidRDefault="001878F6">
      <w:pPr>
        <w:pStyle w:val="FootnoteText"/>
        <w:rPr>
          <w:rFonts w:ascii="Garamond" w:hAnsi="Garamond"/>
          <w:sz w:val="22"/>
          <w:szCs w:val="22"/>
        </w:rPr>
      </w:pPr>
      <w:r w:rsidRPr="00DE2805">
        <w:rPr>
          <w:rStyle w:val="FootnoteReference"/>
          <w:rFonts w:ascii="Garamond" w:hAnsi="Garamond"/>
          <w:sz w:val="22"/>
          <w:szCs w:val="22"/>
        </w:rPr>
        <w:footnoteRef/>
      </w:r>
      <w:r w:rsidRPr="00DE2805">
        <w:rPr>
          <w:rFonts w:ascii="Garamond" w:hAnsi="Garamond"/>
          <w:sz w:val="22"/>
          <w:szCs w:val="22"/>
        </w:rPr>
        <w:t xml:space="preserve"> What</w:t>
      </w:r>
      <w:r w:rsidR="00345E47" w:rsidRPr="00DE2805">
        <w:rPr>
          <w:rFonts w:ascii="Garamond" w:hAnsi="Garamond"/>
          <w:sz w:val="22"/>
          <w:szCs w:val="22"/>
        </w:rPr>
        <w:t>’</w:t>
      </w:r>
      <w:r w:rsidRPr="00DE2805">
        <w:rPr>
          <w:rFonts w:ascii="Garamond" w:hAnsi="Garamond"/>
          <w:sz w:val="22"/>
          <w:szCs w:val="22"/>
        </w:rPr>
        <w:t>d I tell you about Commission opinions?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B1F72"/>
    <w:multiLevelType w:val="hybridMultilevel"/>
    <w:tmpl w:val="8F1A3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C0580F"/>
    <w:multiLevelType w:val="hybridMultilevel"/>
    <w:tmpl w:val="481CD264"/>
    <w:lvl w:ilvl="0" w:tplc="691E0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AA"/>
    <w:rsid w:val="0000550C"/>
    <w:rsid w:val="00005B90"/>
    <w:rsid w:val="000068AC"/>
    <w:rsid w:val="000114B4"/>
    <w:rsid w:val="00012B38"/>
    <w:rsid w:val="00014519"/>
    <w:rsid w:val="0001566C"/>
    <w:rsid w:val="000177CA"/>
    <w:rsid w:val="00017D14"/>
    <w:rsid w:val="00017FED"/>
    <w:rsid w:val="00026E23"/>
    <w:rsid w:val="00027287"/>
    <w:rsid w:val="000272F3"/>
    <w:rsid w:val="00032B91"/>
    <w:rsid w:val="00033F51"/>
    <w:rsid w:val="00033F85"/>
    <w:rsid w:val="00034B10"/>
    <w:rsid w:val="00034E05"/>
    <w:rsid w:val="00035237"/>
    <w:rsid w:val="00041033"/>
    <w:rsid w:val="00042881"/>
    <w:rsid w:val="00050005"/>
    <w:rsid w:val="000518DD"/>
    <w:rsid w:val="000521EF"/>
    <w:rsid w:val="000525AD"/>
    <w:rsid w:val="000538C9"/>
    <w:rsid w:val="0006174B"/>
    <w:rsid w:val="000619CB"/>
    <w:rsid w:val="00062E0C"/>
    <w:rsid w:val="00063B25"/>
    <w:rsid w:val="00073B6F"/>
    <w:rsid w:val="00073F71"/>
    <w:rsid w:val="00077817"/>
    <w:rsid w:val="00082368"/>
    <w:rsid w:val="00082456"/>
    <w:rsid w:val="00084859"/>
    <w:rsid w:val="000859E7"/>
    <w:rsid w:val="00086C50"/>
    <w:rsid w:val="0008735E"/>
    <w:rsid w:val="0009185C"/>
    <w:rsid w:val="00097F4F"/>
    <w:rsid w:val="000A2B88"/>
    <w:rsid w:val="000A2D1E"/>
    <w:rsid w:val="000A6183"/>
    <w:rsid w:val="000A6AC2"/>
    <w:rsid w:val="000B1574"/>
    <w:rsid w:val="000B28F5"/>
    <w:rsid w:val="000B4E85"/>
    <w:rsid w:val="000B4FEF"/>
    <w:rsid w:val="000C07EE"/>
    <w:rsid w:val="000C3970"/>
    <w:rsid w:val="000C4978"/>
    <w:rsid w:val="000C4AE1"/>
    <w:rsid w:val="000C4C12"/>
    <w:rsid w:val="000C576E"/>
    <w:rsid w:val="000C58ED"/>
    <w:rsid w:val="000C7D31"/>
    <w:rsid w:val="000C7F63"/>
    <w:rsid w:val="000D2839"/>
    <w:rsid w:val="000D6BDA"/>
    <w:rsid w:val="000D7A40"/>
    <w:rsid w:val="000E666F"/>
    <w:rsid w:val="000F35A7"/>
    <w:rsid w:val="000F4387"/>
    <w:rsid w:val="000F4E71"/>
    <w:rsid w:val="000F6346"/>
    <w:rsid w:val="0010224E"/>
    <w:rsid w:val="00103216"/>
    <w:rsid w:val="00107587"/>
    <w:rsid w:val="001140EE"/>
    <w:rsid w:val="00114D56"/>
    <w:rsid w:val="00116986"/>
    <w:rsid w:val="001218B5"/>
    <w:rsid w:val="00122B4C"/>
    <w:rsid w:val="001232C6"/>
    <w:rsid w:val="001274D9"/>
    <w:rsid w:val="00127E06"/>
    <w:rsid w:val="00127E3E"/>
    <w:rsid w:val="00131628"/>
    <w:rsid w:val="001340BC"/>
    <w:rsid w:val="001429E3"/>
    <w:rsid w:val="00144E1F"/>
    <w:rsid w:val="00145D56"/>
    <w:rsid w:val="00150B04"/>
    <w:rsid w:val="0015107E"/>
    <w:rsid w:val="00151C5E"/>
    <w:rsid w:val="00151FC2"/>
    <w:rsid w:val="00154581"/>
    <w:rsid w:val="00154582"/>
    <w:rsid w:val="00162642"/>
    <w:rsid w:val="00163C12"/>
    <w:rsid w:val="00163F4A"/>
    <w:rsid w:val="00164607"/>
    <w:rsid w:val="00170C1F"/>
    <w:rsid w:val="001772D1"/>
    <w:rsid w:val="00183812"/>
    <w:rsid w:val="00183DD9"/>
    <w:rsid w:val="001865D1"/>
    <w:rsid w:val="001878F6"/>
    <w:rsid w:val="001924A4"/>
    <w:rsid w:val="001928F1"/>
    <w:rsid w:val="00192A60"/>
    <w:rsid w:val="00193627"/>
    <w:rsid w:val="00194F62"/>
    <w:rsid w:val="0019555C"/>
    <w:rsid w:val="001963CE"/>
    <w:rsid w:val="001968DF"/>
    <w:rsid w:val="00197906"/>
    <w:rsid w:val="00197BC0"/>
    <w:rsid w:val="001A4B65"/>
    <w:rsid w:val="001A527D"/>
    <w:rsid w:val="001B0AE5"/>
    <w:rsid w:val="001B5F58"/>
    <w:rsid w:val="001B6EF0"/>
    <w:rsid w:val="001B7938"/>
    <w:rsid w:val="001C0C58"/>
    <w:rsid w:val="001C27DF"/>
    <w:rsid w:val="001C45B7"/>
    <w:rsid w:val="001C7781"/>
    <w:rsid w:val="001D0157"/>
    <w:rsid w:val="001D416B"/>
    <w:rsid w:val="001D498D"/>
    <w:rsid w:val="001D50AE"/>
    <w:rsid w:val="001D55CB"/>
    <w:rsid w:val="001E0607"/>
    <w:rsid w:val="001E1B9C"/>
    <w:rsid w:val="001E4864"/>
    <w:rsid w:val="001F0059"/>
    <w:rsid w:val="001F1052"/>
    <w:rsid w:val="001F10D2"/>
    <w:rsid w:val="001F1411"/>
    <w:rsid w:val="001F154E"/>
    <w:rsid w:val="001F3802"/>
    <w:rsid w:val="001F53CF"/>
    <w:rsid w:val="001F61AF"/>
    <w:rsid w:val="001F6520"/>
    <w:rsid w:val="00200493"/>
    <w:rsid w:val="00200A71"/>
    <w:rsid w:val="002014CA"/>
    <w:rsid w:val="00201675"/>
    <w:rsid w:val="0020438E"/>
    <w:rsid w:val="00207401"/>
    <w:rsid w:val="00214BE8"/>
    <w:rsid w:val="00215C29"/>
    <w:rsid w:val="00216260"/>
    <w:rsid w:val="00216C15"/>
    <w:rsid w:val="002233E2"/>
    <w:rsid w:val="00223985"/>
    <w:rsid w:val="00223D90"/>
    <w:rsid w:val="00224225"/>
    <w:rsid w:val="0022649D"/>
    <w:rsid w:val="002270A7"/>
    <w:rsid w:val="00227476"/>
    <w:rsid w:val="00233839"/>
    <w:rsid w:val="00233F17"/>
    <w:rsid w:val="00234D00"/>
    <w:rsid w:val="00235CE1"/>
    <w:rsid w:val="00241ED9"/>
    <w:rsid w:val="002420DB"/>
    <w:rsid w:val="002420EF"/>
    <w:rsid w:val="00243087"/>
    <w:rsid w:val="00244A1D"/>
    <w:rsid w:val="002454BE"/>
    <w:rsid w:val="0024632B"/>
    <w:rsid w:val="002463A3"/>
    <w:rsid w:val="002510B1"/>
    <w:rsid w:val="002522BB"/>
    <w:rsid w:val="00252F1E"/>
    <w:rsid w:val="0025337A"/>
    <w:rsid w:val="00255A1E"/>
    <w:rsid w:val="0025759B"/>
    <w:rsid w:val="00257E4A"/>
    <w:rsid w:val="00260E45"/>
    <w:rsid w:val="0027105F"/>
    <w:rsid w:val="0027404F"/>
    <w:rsid w:val="00274C1B"/>
    <w:rsid w:val="002767B0"/>
    <w:rsid w:val="002813F9"/>
    <w:rsid w:val="002862B2"/>
    <w:rsid w:val="00287D68"/>
    <w:rsid w:val="002906D1"/>
    <w:rsid w:val="002928CD"/>
    <w:rsid w:val="00294BBB"/>
    <w:rsid w:val="00294D57"/>
    <w:rsid w:val="002A03FF"/>
    <w:rsid w:val="002A1592"/>
    <w:rsid w:val="002A7570"/>
    <w:rsid w:val="002B03C3"/>
    <w:rsid w:val="002B06AA"/>
    <w:rsid w:val="002B1A11"/>
    <w:rsid w:val="002B2929"/>
    <w:rsid w:val="002C0E74"/>
    <w:rsid w:val="002C358B"/>
    <w:rsid w:val="002C42FF"/>
    <w:rsid w:val="002C46E3"/>
    <w:rsid w:val="002C62D8"/>
    <w:rsid w:val="002D04A5"/>
    <w:rsid w:val="002D12BA"/>
    <w:rsid w:val="002D15D6"/>
    <w:rsid w:val="002D192F"/>
    <w:rsid w:val="002D31F3"/>
    <w:rsid w:val="002D4ECD"/>
    <w:rsid w:val="002D4FEC"/>
    <w:rsid w:val="002E1EB8"/>
    <w:rsid w:val="002E2F7C"/>
    <w:rsid w:val="002E5C9B"/>
    <w:rsid w:val="002F33FB"/>
    <w:rsid w:val="002F639C"/>
    <w:rsid w:val="002F74BB"/>
    <w:rsid w:val="00304EC8"/>
    <w:rsid w:val="0030750E"/>
    <w:rsid w:val="00307E09"/>
    <w:rsid w:val="00310FA2"/>
    <w:rsid w:val="003137D7"/>
    <w:rsid w:val="00314D96"/>
    <w:rsid w:val="00316DE8"/>
    <w:rsid w:val="00316E1B"/>
    <w:rsid w:val="00317B5B"/>
    <w:rsid w:val="00321639"/>
    <w:rsid w:val="003247F2"/>
    <w:rsid w:val="00324A07"/>
    <w:rsid w:val="00333183"/>
    <w:rsid w:val="00333EFF"/>
    <w:rsid w:val="00335E32"/>
    <w:rsid w:val="0033776A"/>
    <w:rsid w:val="00340AF1"/>
    <w:rsid w:val="00345E47"/>
    <w:rsid w:val="00345FB8"/>
    <w:rsid w:val="00346416"/>
    <w:rsid w:val="00350762"/>
    <w:rsid w:val="00351E81"/>
    <w:rsid w:val="00353156"/>
    <w:rsid w:val="00354834"/>
    <w:rsid w:val="003567F8"/>
    <w:rsid w:val="00361DC7"/>
    <w:rsid w:val="003657B1"/>
    <w:rsid w:val="003668E2"/>
    <w:rsid w:val="003704C0"/>
    <w:rsid w:val="003705E3"/>
    <w:rsid w:val="0037256D"/>
    <w:rsid w:val="0037519D"/>
    <w:rsid w:val="003754C6"/>
    <w:rsid w:val="00381910"/>
    <w:rsid w:val="00381C5D"/>
    <w:rsid w:val="00382DE5"/>
    <w:rsid w:val="0038474E"/>
    <w:rsid w:val="00393857"/>
    <w:rsid w:val="00393E49"/>
    <w:rsid w:val="00394A6A"/>
    <w:rsid w:val="0039596B"/>
    <w:rsid w:val="00395D2E"/>
    <w:rsid w:val="003A2F99"/>
    <w:rsid w:val="003A4BA7"/>
    <w:rsid w:val="003A72AC"/>
    <w:rsid w:val="003A7352"/>
    <w:rsid w:val="003B2488"/>
    <w:rsid w:val="003B36DF"/>
    <w:rsid w:val="003B38D1"/>
    <w:rsid w:val="003B5D70"/>
    <w:rsid w:val="003C3A6B"/>
    <w:rsid w:val="003C7125"/>
    <w:rsid w:val="003D1C57"/>
    <w:rsid w:val="003D30F5"/>
    <w:rsid w:val="003D3BE9"/>
    <w:rsid w:val="003E0310"/>
    <w:rsid w:val="003E15B0"/>
    <w:rsid w:val="003E2391"/>
    <w:rsid w:val="003E2A77"/>
    <w:rsid w:val="003E2D6E"/>
    <w:rsid w:val="003E53C6"/>
    <w:rsid w:val="003E5C5E"/>
    <w:rsid w:val="003F32A7"/>
    <w:rsid w:val="003F3D52"/>
    <w:rsid w:val="003F57C2"/>
    <w:rsid w:val="003F71BF"/>
    <w:rsid w:val="00400783"/>
    <w:rsid w:val="004014E8"/>
    <w:rsid w:val="00403BE1"/>
    <w:rsid w:val="00404576"/>
    <w:rsid w:val="00404ED7"/>
    <w:rsid w:val="00411A23"/>
    <w:rsid w:val="00412E48"/>
    <w:rsid w:val="00413A07"/>
    <w:rsid w:val="00413BCF"/>
    <w:rsid w:val="00413DBB"/>
    <w:rsid w:val="0041411A"/>
    <w:rsid w:val="0041668B"/>
    <w:rsid w:val="004202D0"/>
    <w:rsid w:val="00420C0F"/>
    <w:rsid w:val="00422251"/>
    <w:rsid w:val="004313F3"/>
    <w:rsid w:val="0043199E"/>
    <w:rsid w:val="0043299D"/>
    <w:rsid w:val="004356E9"/>
    <w:rsid w:val="004367E5"/>
    <w:rsid w:val="00437127"/>
    <w:rsid w:val="004408F1"/>
    <w:rsid w:val="004476B9"/>
    <w:rsid w:val="00451750"/>
    <w:rsid w:val="00452790"/>
    <w:rsid w:val="0045748A"/>
    <w:rsid w:val="004622F0"/>
    <w:rsid w:val="00463171"/>
    <w:rsid w:val="0046356B"/>
    <w:rsid w:val="0047012C"/>
    <w:rsid w:val="00470BDF"/>
    <w:rsid w:val="004725E1"/>
    <w:rsid w:val="00472D90"/>
    <w:rsid w:val="00472E6B"/>
    <w:rsid w:val="004743B0"/>
    <w:rsid w:val="004745B9"/>
    <w:rsid w:val="004815F9"/>
    <w:rsid w:val="004836BA"/>
    <w:rsid w:val="00484D2E"/>
    <w:rsid w:val="00486B53"/>
    <w:rsid w:val="00487CF2"/>
    <w:rsid w:val="00490DB9"/>
    <w:rsid w:val="00492059"/>
    <w:rsid w:val="00494E50"/>
    <w:rsid w:val="00495EE1"/>
    <w:rsid w:val="004A4C85"/>
    <w:rsid w:val="004A73D0"/>
    <w:rsid w:val="004B00D2"/>
    <w:rsid w:val="004B1095"/>
    <w:rsid w:val="004B40DF"/>
    <w:rsid w:val="004B4FD3"/>
    <w:rsid w:val="004C1757"/>
    <w:rsid w:val="004C1DEA"/>
    <w:rsid w:val="004C2063"/>
    <w:rsid w:val="004C3035"/>
    <w:rsid w:val="004C4FF0"/>
    <w:rsid w:val="004C65C1"/>
    <w:rsid w:val="004C6D1D"/>
    <w:rsid w:val="004D3060"/>
    <w:rsid w:val="004D3504"/>
    <w:rsid w:val="004D505D"/>
    <w:rsid w:val="004D52D6"/>
    <w:rsid w:val="004D631C"/>
    <w:rsid w:val="004E030E"/>
    <w:rsid w:val="004E087D"/>
    <w:rsid w:val="004F1501"/>
    <w:rsid w:val="004F1C01"/>
    <w:rsid w:val="004F46B3"/>
    <w:rsid w:val="004F5283"/>
    <w:rsid w:val="004F66C3"/>
    <w:rsid w:val="004F7D3F"/>
    <w:rsid w:val="00500F4B"/>
    <w:rsid w:val="00503727"/>
    <w:rsid w:val="00504418"/>
    <w:rsid w:val="0051001B"/>
    <w:rsid w:val="00510D6F"/>
    <w:rsid w:val="00511AFA"/>
    <w:rsid w:val="00511D8B"/>
    <w:rsid w:val="00512355"/>
    <w:rsid w:val="00513B69"/>
    <w:rsid w:val="00513F5D"/>
    <w:rsid w:val="005151A2"/>
    <w:rsid w:val="00515A3B"/>
    <w:rsid w:val="0052024A"/>
    <w:rsid w:val="00520954"/>
    <w:rsid w:val="005226F8"/>
    <w:rsid w:val="00522B14"/>
    <w:rsid w:val="005240CC"/>
    <w:rsid w:val="00524536"/>
    <w:rsid w:val="00531805"/>
    <w:rsid w:val="00532BD7"/>
    <w:rsid w:val="00535A9E"/>
    <w:rsid w:val="00537044"/>
    <w:rsid w:val="00537D40"/>
    <w:rsid w:val="005438EC"/>
    <w:rsid w:val="00543B3C"/>
    <w:rsid w:val="005473A2"/>
    <w:rsid w:val="00550582"/>
    <w:rsid w:val="00550841"/>
    <w:rsid w:val="00551EA2"/>
    <w:rsid w:val="00552290"/>
    <w:rsid w:val="00552782"/>
    <w:rsid w:val="00552A0E"/>
    <w:rsid w:val="005530F9"/>
    <w:rsid w:val="00561FD8"/>
    <w:rsid w:val="0056248D"/>
    <w:rsid w:val="00563596"/>
    <w:rsid w:val="00564E0E"/>
    <w:rsid w:val="00565043"/>
    <w:rsid w:val="00575431"/>
    <w:rsid w:val="00576A01"/>
    <w:rsid w:val="00580180"/>
    <w:rsid w:val="0058048B"/>
    <w:rsid w:val="00583848"/>
    <w:rsid w:val="00583A5B"/>
    <w:rsid w:val="005858B5"/>
    <w:rsid w:val="00586C17"/>
    <w:rsid w:val="00591832"/>
    <w:rsid w:val="00593CE3"/>
    <w:rsid w:val="00595294"/>
    <w:rsid w:val="00595870"/>
    <w:rsid w:val="00596350"/>
    <w:rsid w:val="005A2C60"/>
    <w:rsid w:val="005A3D3A"/>
    <w:rsid w:val="005A41B7"/>
    <w:rsid w:val="005B0006"/>
    <w:rsid w:val="005B29E7"/>
    <w:rsid w:val="005B2A9F"/>
    <w:rsid w:val="005B3F94"/>
    <w:rsid w:val="005B43C1"/>
    <w:rsid w:val="005B4462"/>
    <w:rsid w:val="005B4E60"/>
    <w:rsid w:val="005B6FC6"/>
    <w:rsid w:val="005B7F83"/>
    <w:rsid w:val="005C3173"/>
    <w:rsid w:val="005C3677"/>
    <w:rsid w:val="005D677B"/>
    <w:rsid w:val="005E1672"/>
    <w:rsid w:val="005E33A7"/>
    <w:rsid w:val="005E6032"/>
    <w:rsid w:val="005E6B4E"/>
    <w:rsid w:val="005E7583"/>
    <w:rsid w:val="005F06DF"/>
    <w:rsid w:val="005F1EAC"/>
    <w:rsid w:val="005F22F7"/>
    <w:rsid w:val="005F2799"/>
    <w:rsid w:val="005F5A7A"/>
    <w:rsid w:val="005F693E"/>
    <w:rsid w:val="005F738D"/>
    <w:rsid w:val="00600735"/>
    <w:rsid w:val="006014B6"/>
    <w:rsid w:val="00601EC9"/>
    <w:rsid w:val="00604183"/>
    <w:rsid w:val="00604F90"/>
    <w:rsid w:val="0060589E"/>
    <w:rsid w:val="006072BE"/>
    <w:rsid w:val="00610230"/>
    <w:rsid w:val="00610571"/>
    <w:rsid w:val="006128C4"/>
    <w:rsid w:val="00612BB4"/>
    <w:rsid w:val="00615566"/>
    <w:rsid w:val="0061608C"/>
    <w:rsid w:val="0062572A"/>
    <w:rsid w:val="0063125D"/>
    <w:rsid w:val="00632C6D"/>
    <w:rsid w:val="006339AA"/>
    <w:rsid w:val="006339D4"/>
    <w:rsid w:val="0063471A"/>
    <w:rsid w:val="006352AB"/>
    <w:rsid w:val="0063595E"/>
    <w:rsid w:val="006365F9"/>
    <w:rsid w:val="006371EA"/>
    <w:rsid w:val="006375ED"/>
    <w:rsid w:val="00640EB9"/>
    <w:rsid w:val="006421FC"/>
    <w:rsid w:val="00644674"/>
    <w:rsid w:val="006501F1"/>
    <w:rsid w:val="006503EF"/>
    <w:rsid w:val="00651303"/>
    <w:rsid w:val="00653C6D"/>
    <w:rsid w:val="006542B4"/>
    <w:rsid w:val="00655264"/>
    <w:rsid w:val="006646DE"/>
    <w:rsid w:val="00665F9C"/>
    <w:rsid w:val="0066782B"/>
    <w:rsid w:val="006704A0"/>
    <w:rsid w:val="00674F19"/>
    <w:rsid w:val="006752BB"/>
    <w:rsid w:val="00676989"/>
    <w:rsid w:val="00683B9A"/>
    <w:rsid w:val="00684493"/>
    <w:rsid w:val="00686165"/>
    <w:rsid w:val="00686256"/>
    <w:rsid w:val="006866C8"/>
    <w:rsid w:val="00686914"/>
    <w:rsid w:val="0069170F"/>
    <w:rsid w:val="00691A49"/>
    <w:rsid w:val="0069477F"/>
    <w:rsid w:val="006972B8"/>
    <w:rsid w:val="00697A8F"/>
    <w:rsid w:val="00697CC3"/>
    <w:rsid w:val="006A2C05"/>
    <w:rsid w:val="006A33A0"/>
    <w:rsid w:val="006A34DA"/>
    <w:rsid w:val="006A46B2"/>
    <w:rsid w:val="006A5666"/>
    <w:rsid w:val="006A5EE3"/>
    <w:rsid w:val="006B0532"/>
    <w:rsid w:val="006B4948"/>
    <w:rsid w:val="006B6906"/>
    <w:rsid w:val="006C0B18"/>
    <w:rsid w:val="006C4676"/>
    <w:rsid w:val="006C6B8D"/>
    <w:rsid w:val="006C71C8"/>
    <w:rsid w:val="006C75C1"/>
    <w:rsid w:val="006D0A9C"/>
    <w:rsid w:val="006D0FDF"/>
    <w:rsid w:val="006D2DC5"/>
    <w:rsid w:val="006D3CF0"/>
    <w:rsid w:val="006D4B0E"/>
    <w:rsid w:val="006D58C8"/>
    <w:rsid w:val="006D6E72"/>
    <w:rsid w:val="006E0E5A"/>
    <w:rsid w:val="006E0FE9"/>
    <w:rsid w:val="006E36CD"/>
    <w:rsid w:val="006E3E88"/>
    <w:rsid w:val="006F0292"/>
    <w:rsid w:val="006F167D"/>
    <w:rsid w:val="006F20FC"/>
    <w:rsid w:val="006F3BDD"/>
    <w:rsid w:val="006F636D"/>
    <w:rsid w:val="007010F5"/>
    <w:rsid w:val="00703044"/>
    <w:rsid w:val="00703E21"/>
    <w:rsid w:val="00705D6C"/>
    <w:rsid w:val="00706EE2"/>
    <w:rsid w:val="007070A2"/>
    <w:rsid w:val="0070736A"/>
    <w:rsid w:val="00711F30"/>
    <w:rsid w:val="00713252"/>
    <w:rsid w:val="00714079"/>
    <w:rsid w:val="00721328"/>
    <w:rsid w:val="00726C84"/>
    <w:rsid w:val="0073255A"/>
    <w:rsid w:val="00732E98"/>
    <w:rsid w:val="00732EAB"/>
    <w:rsid w:val="00733F6E"/>
    <w:rsid w:val="0073586D"/>
    <w:rsid w:val="007369F7"/>
    <w:rsid w:val="007400F6"/>
    <w:rsid w:val="00740E32"/>
    <w:rsid w:val="007414D1"/>
    <w:rsid w:val="00741532"/>
    <w:rsid w:val="00746220"/>
    <w:rsid w:val="00747BD7"/>
    <w:rsid w:val="00753A4B"/>
    <w:rsid w:val="00753C34"/>
    <w:rsid w:val="00753E10"/>
    <w:rsid w:val="00753FDA"/>
    <w:rsid w:val="007540D2"/>
    <w:rsid w:val="00756D50"/>
    <w:rsid w:val="0076006C"/>
    <w:rsid w:val="0076413A"/>
    <w:rsid w:val="00765F57"/>
    <w:rsid w:val="007667E1"/>
    <w:rsid w:val="00767E8F"/>
    <w:rsid w:val="00772961"/>
    <w:rsid w:val="00773300"/>
    <w:rsid w:val="00774442"/>
    <w:rsid w:val="007749ED"/>
    <w:rsid w:val="00775188"/>
    <w:rsid w:val="00780192"/>
    <w:rsid w:val="0078155F"/>
    <w:rsid w:val="007822A5"/>
    <w:rsid w:val="00784120"/>
    <w:rsid w:val="007842BD"/>
    <w:rsid w:val="00786CBE"/>
    <w:rsid w:val="00791294"/>
    <w:rsid w:val="00793037"/>
    <w:rsid w:val="00793B54"/>
    <w:rsid w:val="00794143"/>
    <w:rsid w:val="00795899"/>
    <w:rsid w:val="0079659C"/>
    <w:rsid w:val="007A069B"/>
    <w:rsid w:val="007A2E9E"/>
    <w:rsid w:val="007A6E5E"/>
    <w:rsid w:val="007B082E"/>
    <w:rsid w:val="007B1077"/>
    <w:rsid w:val="007B2667"/>
    <w:rsid w:val="007B3A13"/>
    <w:rsid w:val="007B3C32"/>
    <w:rsid w:val="007C038C"/>
    <w:rsid w:val="007C1312"/>
    <w:rsid w:val="007C248C"/>
    <w:rsid w:val="007C271A"/>
    <w:rsid w:val="007C48D7"/>
    <w:rsid w:val="007C4B26"/>
    <w:rsid w:val="007C65C7"/>
    <w:rsid w:val="007C7C4E"/>
    <w:rsid w:val="007D0A19"/>
    <w:rsid w:val="007D32BB"/>
    <w:rsid w:val="007D3A89"/>
    <w:rsid w:val="007D4BA2"/>
    <w:rsid w:val="007D4F79"/>
    <w:rsid w:val="007E1562"/>
    <w:rsid w:val="007E45EA"/>
    <w:rsid w:val="007E5527"/>
    <w:rsid w:val="007E6A61"/>
    <w:rsid w:val="007E6B3A"/>
    <w:rsid w:val="007F14AF"/>
    <w:rsid w:val="007F1A63"/>
    <w:rsid w:val="007F1C7F"/>
    <w:rsid w:val="007F2C53"/>
    <w:rsid w:val="007F65C6"/>
    <w:rsid w:val="008016E0"/>
    <w:rsid w:val="008020FA"/>
    <w:rsid w:val="00803701"/>
    <w:rsid w:val="00804172"/>
    <w:rsid w:val="0080575B"/>
    <w:rsid w:val="00807B11"/>
    <w:rsid w:val="008113C4"/>
    <w:rsid w:val="00811422"/>
    <w:rsid w:val="0081222C"/>
    <w:rsid w:val="0081235F"/>
    <w:rsid w:val="00812D47"/>
    <w:rsid w:val="00812D8D"/>
    <w:rsid w:val="00814F77"/>
    <w:rsid w:val="00816F86"/>
    <w:rsid w:val="00820705"/>
    <w:rsid w:val="008220D6"/>
    <w:rsid w:val="00822E80"/>
    <w:rsid w:val="00823075"/>
    <w:rsid w:val="008230A0"/>
    <w:rsid w:val="00826A95"/>
    <w:rsid w:val="0083027B"/>
    <w:rsid w:val="00830E3F"/>
    <w:rsid w:val="00835196"/>
    <w:rsid w:val="00836502"/>
    <w:rsid w:val="00837209"/>
    <w:rsid w:val="008423BE"/>
    <w:rsid w:val="0084241D"/>
    <w:rsid w:val="00843508"/>
    <w:rsid w:val="00844E68"/>
    <w:rsid w:val="00845BAD"/>
    <w:rsid w:val="00846A2D"/>
    <w:rsid w:val="00854634"/>
    <w:rsid w:val="00855F73"/>
    <w:rsid w:val="008621A3"/>
    <w:rsid w:val="0086300E"/>
    <w:rsid w:val="00863395"/>
    <w:rsid w:val="008646A4"/>
    <w:rsid w:val="008664BF"/>
    <w:rsid w:val="00867806"/>
    <w:rsid w:val="008704FE"/>
    <w:rsid w:val="00870B2B"/>
    <w:rsid w:val="00872A53"/>
    <w:rsid w:val="00872F11"/>
    <w:rsid w:val="00881076"/>
    <w:rsid w:val="008811AF"/>
    <w:rsid w:val="008856D5"/>
    <w:rsid w:val="00886D53"/>
    <w:rsid w:val="00886DAA"/>
    <w:rsid w:val="008879AF"/>
    <w:rsid w:val="00887FC8"/>
    <w:rsid w:val="008901C5"/>
    <w:rsid w:val="008907F5"/>
    <w:rsid w:val="00896E60"/>
    <w:rsid w:val="008A08F1"/>
    <w:rsid w:val="008A2326"/>
    <w:rsid w:val="008A29B7"/>
    <w:rsid w:val="008A4A44"/>
    <w:rsid w:val="008A4B1B"/>
    <w:rsid w:val="008A5B2F"/>
    <w:rsid w:val="008A5E5C"/>
    <w:rsid w:val="008A7249"/>
    <w:rsid w:val="008B02C6"/>
    <w:rsid w:val="008B207B"/>
    <w:rsid w:val="008B7A86"/>
    <w:rsid w:val="008C06F9"/>
    <w:rsid w:val="008C1A13"/>
    <w:rsid w:val="008C1E2C"/>
    <w:rsid w:val="008C306C"/>
    <w:rsid w:val="008C3D35"/>
    <w:rsid w:val="008C47E2"/>
    <w:rsid w:val="008C542C"/>
    <w:rsid w:val="008C643D"/>
    <w:rsid w:val="008C69D2"/>
    <w:rsid w:val="008C6BA0"/>
    <w:rsid w:val="008C7834"/>
    <w:rsid w:val="008D00C8"/>
    <w:rsid w:val="008D769C"/>
    <w:rsid w:val="008E2B17"/>
    <w:rsid w:val="008E4DCB"/>
    <w:rsid w:val="008F01EB"/>
    <w:rsid w:val="008F1339"/>
    <w:rsid w:val="008F24DC"/>
    <w:rsid w:val="008F507F"/>
    <w:rsid w:val="00900F1A"/>
    <w:rsid w:val="00904E5D"/>
    <w:rsid w:val="009065EA"/>
    <w:rsid w:val="00907D10"/>
    <w:rsid w:val="00911D3C"/>
    <w:rsid w:val="00912081"/>
    <w:rsid w:val="009134D9"/>
    <w:rsid w:val="00913E84"/>
    <w:rsid w:val="00914E84"/>
    <w:rsid w:val="00921249"/>
    <w:rsid w:val="00926E56"/>
    <w:rsid w:val="009300F9"/>
    <w:rsid w:val="00930DD6"/>
    <w:rsid w:val="00931FE3"/>
    <w:rsid w:val="00932876"/>
    <w:rsid w:val="009340A0"/>
    <w:rsid w:val="009346C7"/>
    <w:rsid w:val="00935B5C"/>
    <w:rsid w:val="00940F2C"/>
    <w:rsid w:val="00953933"/>
    <w:rsid w:val="0095483E"/>
    <w:rsid w:val="00956058"/>
    <w:rsid w:val="00960725"/>
    <w:rsid w:val="009626AB"/>
    <w:rsid w:val="009650EC"/>
    <w:rsid w:val="00966221"/>
    <w:rsid w:val="00971E1F"/>
    <w:rsid w:val="00972407"/>
    <w:rsid w:val="00972D73"/>
    <w:rsid w:val="00974B47"/>
    <w:rsid w:val="00975E5F"/>
    <w:rsid w:val="00976DF0"/>
    <w:rsid w:val="009771B6"/>
    <w:rsid w:val="00977D40"/>
    <w:rsid w:val="009801D8"/>
    <w:rsid w:val="0098272E"/>
    <w:rsid w:val="00982D85"/>
    <w:rsid w:val="009848B9"/>
    <w:rsid w:val="00987BAF"/>
    <w:rsid w:val="00992E19"/>
    <w:rsid w:val="00994007"/>
    <w:rsid w:val="00994C7D"/>
    <w:rsid w:val="009A2E6D"/>
    <w:rsid w:val="009A4AB3"/>
    <w:rsid w:val="009A59EF"/>
    <w:rsid w:val="009A6B6F"/>
    <w:rsid w:val="009A6D7F"/>
    <w:rsid w:val="009A6E86"/>
    <w:rsid w:val="009A7D46"/>
    <w:rsid w:val="009B09C9"/>
    <w:rsid w:val="009B5E66"/>
    <w:rsid w:val="009C2D2B"/>
    <w:rsid w:val="009C483F"/>
    <w:rsid w:val="009D0310"/>
    <w:rsid w:val="009D051B"/>
    <w:rsid w:val="009D4EE9"/>
    <w:rsid w:val="009D6A64"/>
    <w:rsid w:val="009D72CE"/>
    <w:rsid w:val="009E01A1"/>
    <w:rsid w:val="009E3698"/>
    <w:rsid w:val="009E48C0"/>
    <w:rsid w:val="009F05AB"/>
    <w:rsid w:val="009F219A"/>
    <w:rsid w:val="009F2D87"/>
    <w:rsid w:val="009F4948"/>
    <w:rsid w:val="009F4EE4"/>
    <w:rsid w:val="009F75E6"/>
    <w:rsid w:val="00A04823"/>
    <w:rsid w:val="00A10562"/>
    <w:rsid w:val="00A108C4"/>
    <w:rsid w:val="00A10D41"/>
    <w:rsid w:val="00A12AE6"/>
    <w:rsid w:val="00A1457F"/>
    <w:rsid w:val="00A17069"/>
    <w:rsid w:val="00A2716E"/>
    <w:rsid w:val="00A27324"/>
    <w:rsid w:val="00A2737D"/>
    <w:rsid w:val="00A335A1"/>
    <w:rsid w:val="00A33A7D"/>
    <w:rsid w:val="00A349EC"/>
    <w:rsid w:val="00A357DF"/>
    <w:rsid w:val="00A36357"/>
    <w:rsid w:val="00A371AA"/>
    <w:rsid w:val="00A40B6B"/>
    <w:rsid w:val="00A4155C"/>
    <w:rsid w:val="00A443CA"/>
    <w:rsid w:val="00A469F8"/>
    <w:rsid w:val="00A506E1"/>
    <w:rsid w:val="00A50C74"/>
    <w:rsid w:val="00A530E9"/>
    <w:rsid w:val="00A534CA"/>
    <w:rsid w:val="00A56348"/>
    <w:rsid w:val="00A57F94"/>
    <w:rsid w:val="00A6089C"/>
    <w:rsid w:val="00A64F71"/>
    <w:rsid w:val="00A678EA"/>
    <w:rsid w:val="00A73E5F"/>
    <w:rsid w:val="00A740A5"/>
    <w:rsid w:val="00A74D92"/>
    <w:rsid w:val="00A75284"/>
    <w:rsid w:val="00A81584"/>
    <w:rsid w:val="00A837E5"/>
    <w:rsid w:val="00A84200"/>
    <w:rsid w:val="00A8432C"/>
    <w:rsid w:val="00A84B7B"/>
    <w:rsid w:val="00A86D57"/>
    <w:rsid w:val="00A870AB"/>
    <w:rsid w:val="00A87FDF"/>
    <w:rsid w:val="00A9001B"/>
    <w:rsid w:val="00A9155E"/>
    <w:rsid w:val="00A928DA"/>
    <w:rsid w:val="00A92E3A"/>
    <w:rsid w:val="00A973A0"/>
    <w:rsid w:val="00A9792B"/>
    <w:rsid w:val="00AA2315"/>
    <w:rsid w:val="00AA2940"/>
    <w:rsid w:val="00AA5342"/>
    <w:rsid w:val="00AA6ABD"/>
    <w:rsid w:val="00AA6FF9"/>
    <w:rsid w:val="00AA7306"/>
    <w:rsid w:val="00AA787F"/>
    <w:rsid w:val="00AA7AE6"/>
    <w:rsid w:val="00AA7F54"/>
    <w:rsid w:val="00AB0305"/>
    <w:rsid w:val="00AB48D5"/>
    <w:rsid w:val="00AB5662"/>
    <w:rsid w:val="00AB7FE2"/>
    <w:rsid w:val="00AC0EE9"/>
    <w:rsid w:val="00AC2541"/>
    <w:rsid w:val="00AC2B7F"/>
    <w:rsid w:val="00AD005F"/>
    <w:rsid w:val="00AD0784"/>
    <w:rsid w:val="00AD0F35"/>
    <w:rsid w:val="00AD12FB"/>
    <w:rsid w:val="00AD4161"/>
    <w:rsid w:val="00AD673F"/>
    <w:rsid w:val="00AE126B"/>
    <w:rsid w:val="00AE320E"/>
    <w:rsid w:val="00AE56DC"/>
    <w:rsid w:val="00AE5A23"/>
    <w:rsid w:val="00AF0907"/>
    <w:rsid w:val="00AF0AD9"/>
    <w:rsid w:val="00AF41B0"/>
    <w:rsid w:val="00AF7D63"/>
    <w:rsid w:val="00B04731"/>
    <w:rsid w:val="00B052DD"/>
    <w:rsid w:val="00B056D8"/>
    <w:rsid w:val="00B07EF0"/>
    <w:rsid w:val="00B11550"/>
    <w:rsid w:val="00B12DE3"/>
    <w:rsid w:val="00B164B2"/>
    <w:rsid w:val="00B202D1"/>
    <w:rsid w:val="00B205F2"/>
    <w:rsid w:val="00B21829"/>
    <w:rsid w:val="00B21DDE"/>
    <w:rsid w:val="00B23A47"/>
    <w:rsid w:val="00B30EB4"/>
    <w:rsid w:val="00B3217C"/>
    <w:rsid w:val="00B32A75"/>
    <w:rsid w:val="00B34421"/>
    <w:rsid w:val="00B378EA"/>
    <w:rsid w:val="00B41DC5"/>
    <w:rsid w:val="00B43949"/>
    <w:rsid w:val="00B47FDE"/>
    <w:rsid w:val="00B50518"/>
    <w:rsid w:val="00B50C75"/>
    <w:rsid w:val="00B5277E"/>
    <w:rsid w:val="00B55D88"/>
    <w:rsid w:val="00B60375"/>
    <w:rsid w:val="00B62048"/>
    <w:rsid w:val="00B6327B"/>
    <w:rsid w:val="00B63600"/>
    <w:rsid w:val="00B638B1"/>
    <w:rsid w:val="00B715EA"/>
    <w:rsid w:val="00B71892"/>
    <w:rsid w:val="00B71AF1"/>
    <w:rsid w:val="00B721B1"/>
    <w:rsid w:val="00B77857"/>
    <w:rsid w:val="00B8134F"/>
    <w:rsid w:val="00B81726"/>
    <w:rsid w:val="00B8297D"/>
    <w:rsid w:val="00B82D92"/>
    <w:rsid w:val="00B83B19"/>
    <w:rsid w:val="00B86C8B"/>
    <w:rsid w:val="00B92DF2"/>
    <w:rsid w:val="00B93350"/>
    <w:rsid w:val="00BA3DDA"/>
    <w:rsid w:val="00BA5596"/>
    <w:rsid w:val="00BA6A51"/>
    <w:rsid w:val="00BA6CFA"/>
    <w:rsid w:val="00BA7FBF"/>
    <w:rsid w:val="00BB0468"/>
    <w:rsid w:val="00BB1C11"/>
    <w:rsid w:val="00BB30ED"/>
    <w:rsid w:val="00BB3DA7"/>
    <w:rsid w:val="00BB4103"/>
    <w:rsid w:val="00BB5079"/>
    <w:rsid w:val="00BB5431"/>
    <w:rsid w:val="00BB5B05"/>
    <w:rsid w:val="00BB5EF6"/>
    <w:rsid w:val="00BB6335"/>
    <w:rsid w:val="00BB7979"/>
    <w:rsid w:val="00BC1FAA"/>
    <w:rsid w:val="00BC2483"/>
    <w:rsid w:val="00BC3599"/>
    <w:rsid w:val="00BC3C38"/>
    <w:rsid w:val="00BC4FF3"/>
    <w:rsid w:val="00BC6E4B"/>
    <w:rsid w:val="00BD0838"/>
    <w:rsid w:val="00BD108A"/>
    <w:rsid w:val="00BD3854"/>
    <w:rsid w:val="00BD6A02"/>
    <w:rsid w:val="00BD7A26"/>
    <w:rsid w:val="00BE10AE"/>
    <w:rsid w:val="00BE247F"/>
    <w:rsid w:val="00BE753D"/>
    <w:rsid w:val="00BE76B1"/>
    <w:rsid w:val="00BF3377"/>
    <w:rsid w:val="00BF77A0"/>
    <w:rsid w:val="00BF79C9"/>
    <w:rsid w:val="00C019BA"/>
    <w:rsid w:val="00C03076"/>
    <w:rsid w:val="00C0318E"/>
    <w:rsid w:val="00C05683"/>
    <w:rsid w:val="00C069D2"/>
    <w:rsid w:val="00C072F0"/>
    <w:rsid w:val="00C13021"/>
    <w:rsid w:val="00C13E2B"/>
    <w:rsid w:val="00C14DFB"/>
    <w:rsid w:val="00C16111"/>
    <w:rsid w:val="00C17924"/>
    <w:rsid w:val="00C265BF"/>
    <w:rsid w:val="00C27516"/>
    <w:rsid w:val="00C3004F"/>
    <w:rsid w:val="00C31692"/>
    <w:rsid w:val="00C32817"/>
    <w:rsid w:val="00C32D98"/>
    <w:rsid w:val="00C33A1E"/>
    <w:rsid w:val="00C3486A"/>
    <w:rsid w:val="00C3536B"/>
    <w:rsid w:val="00C37639"/>
    <w:rsid w:val="00C4062E"/>
    <w:rsid w:val="00C41A7C"/>
    <w:rsid w:val="00C453DC"/>
    <w:rsid w:val="00C46614"/>
    <w:rsid w:val="00C501C3"/>
    <w:rsid w:val="00C52D8E"/>
    <w:rsid w:val="00C5618B"/>
    <w:rsid w:val="00C600ED"/>
    <w:rsid w:val="00C626AA"/>
    <w:rsid w:val="00C62869"/>
    <w:rsid w:val="00C7334B"/>
    <w:rsid w:val="00C73B1E"/>
    <w:rsid w:val="00C75C76"/>
    <w:rsid w:val="00C80849"/>
    <w:rsid w:val="00C80F02"/>
    <w:rsid w:val="00C824E0"/>
    <w:rsid w:val="00C85177"/>
    <w:rsid w:val="00C90121"/>
    <w:rsid w:val="00C912EC"/>
    <w:rsid w:val="00C91AC3"/>
    <w:rsid w:val="00C92514"/>
    <w:rsid w:val="00C92972"/>
    <w:rsid w:val="00C92C71"/>
    <w:rsid w:val="00C94AFA"/>
    <w:rsid w:val="00C95BCA"/>
    <w:rsid w:val="00C96C5A"/>
    <w:rsid w:val="00CA40E8"/>
    <w:rsid w:val="00CA7F82"/>
    <w:rsid w:val="00CB1296"/>
    <w:rsid w:val="00CB2C9F"/>
    <w:rsid w:val="00CB3AF2"/>
    <w:rsid w:val="00CB7E87"/>
    <w:rsid w:val="00CC0343"/>
    <w:rsid w:val="00CC38D9"/>
    <w:rsid w:val="00CC7A63"/>
    <w:rsid w:val="00CD07B2"/>
    <w:rsid w:val="00CD132B"/>
    <w:rsid w:val="00CD3024"/>
    <w:rsid w:val="00CD53D0"/>
    <w:rsid w:val="00CD5A12"/>
    <w:rsid w:val="00CD79F7"/>
    <w:rsid w:val="00CE17D1"/>
    <w:rsid w:val="00CE2BDD"/>
    <w:rsid w:val="00CF1576"/>
    <w:rsid w:val="00CF2F60"/>
    <w:rsid w:val="00CF3418"/>
    <w:rsid w:val="00CF5EF4"/>
    <w:rsid w:val="00CF761F"/>
    <w:rsid w:val="00CF7D70"/>
    <w:rsid w:val="00D03D1B"/>
    <w:rsid w:val="00D04379"/>
    <w:rsid w:val="00D07B16"/>
    <w:rsid w:val="00D07B4F"/>
    <w:rsid w:val="00D1664A"/>
    <w:rsid w:val="00D201A6"/>
    <w:rsid w:val="00D20F1A"/>
    <w:rsid w:val="00D22B48"/>
    <w:rsid w:val="00D23A81"/>
    <w:rsid w:val="00D26F54"/>
    <w:rsid w:val="00D30DAC"/>
    <w:rsid w:val="00D32449"/>
    <w:rsid w:val="00D34E94"/>
    <w:rsid w:val="00D378CB"/>
    <w:rsid w:val="00D405F6"/>
    <w:rsid w:val="00D40CA4"/>
    <w:rsid w:val="00D426F0"/>
    <w:rsid w:val="00D429AD"/>
    <w:rsid w:val="00D43786"/>
    <w:rsid w:val="00D441E5"/>
    <w:rsid w:val="00D5355E"/>
    <w:rsid w:val="00D54595"/>
    <w:rsid w:val="00D54E1F"/>
    <w:rsid w:val="00D550D0"/>
    <w:rsid w:val="00D553F0"/>
    <w:rsid w:val="00D562D0"/>
    <w:rsid w:val="00D60396"/>
    <w:rsid w:val="00D61209"/>
    <w:rsid w:val="00D644EC"/>
    <w:rsid w:val="00D64851"/>
    <w:rsid w:val="00D64ED8"/>
    <w:rsid w:val="00D7456F"/>
    <w:rsid w:val="00D7591F"/>
    <w:rsid w:val="00D75AE8"/>
    <w:rsid w:val="00D80A81"/>
    <w:rsid w:val="00D81E08"/>
    <w:rsid w:val="00D83B5A"/>
    <w:rsid w:val="00D84D99"/>
    <w:rsid w:val="00D851D8"/>
    <w:rsid w:val="00D861AD"/>
    <w:rsid w:val="00D8624D"/>
    <w:rsid w:val="00D92849"/>
    <w:rsid w:val="00D92C9B"/>
    <w:rsid w:val="00D94662"/>
    <w:rsid w:val="00D95D0D"/>
    <w:rsid w:val="00DA4E39"/>
    <w:rsid w:val="00DA5EBD"/>
    <w:rsid w:val="00DB1536"/>
    <w:rsid w:val="00DB19E9"/>
    <w:rsid w:val="00DB245A"/>
    <w:rsid w:val="00DB29E6"/>
    <w:rsid w:val="00DB5687"/>
    <w:rsid w:val="00DB568F"/>
    <w:rsid w:val="00DB62DB"/>
    <w:rsid w:val="00DC19AD"/>
    <w:rsid w:val="00DC37E7"/>
    <w:rsid w:val="00DC582F"/>
    <w:rsid w:val="00DD2291"/>
    <w:rsid w:val="00DD7FCE"/>
    <w:rsid w:val="00DE2805"/>
    <w:rsid w:val="00DE2A39"/>
    <w:rsid w:val="00DE42A7"/>
    <w:rsid w:val="00DE5A41"/>
    <w:rsid w:val="00DE7459"/>
    <w:rsid w:val="00DF038B"/>
    <w:rsid w:val="00DF083A"/>
    <w:rsid w:val="00DF1D46"/>
    <w:rsid w:val="00DF28A0"/>
    <w:rsid w:val="00DF448C"/>
    <w:rsid w:val="00DF7738"/>
    <w:rsid w:val="00E012F2"/>
    <w:rsid w:val="00E0647D"/>
    <w:rsid w:val="00E13D81"/>
    <w:rsid w:val="00E21203"/>
    <w:rsid w:val="00E238AF"/>
    <w:rsid w:val="00E25496"/>
    <w:rsid w:val="00E2721C"/>
    <w:rsid w:val="00E32652"/>
    <w:rsid w:val="00E33869"/>
    <w:rsid w:val="00E344DD"/>
    <w:rsid w:val="00E34766"/>
    <w:rsid w:val="00E34DE1"/>
    <w:rsid w:val="00E36591"/>
    <w:rsid w:val="00E37018"/>
    <w:rsid w:val="00E401BD"/>
    <w:rsid w:val="00E4231A"/>
    <w:rsid w:val="00E50A8C"/>
    <w:rsid w:val="00E56BB9"/>
    <w:rsid w:val="00E60446"/>
    <w:rsid w:val="00E613BF"/>
    <w:rsid w:val="00E623D3"/>
    <w:rsid w:val="00E63FB1"/>
    <w:rsid w:val="00E64A25"/>
    <w:rsid w:val="00E64C00"/>
    <w:rsid w:val="00E650C9"/>
    <w:rsid w:val="00E705AF"/>
    <w:rsid w:val="00E70DDE"/>
    <w:rsid w:val="00E7239A"/>
    <w:rsid w:val="00E72F9B"/>
    <w:rsid w:val="00E736C6"/>
    <w:rsid w:val="00E74A63"/>
    <w:rsid w:val="00E76BE7"/>
    <w:rsid w:val="00E80BB3"/>
    <w:rsid w:val="00E81795"/>
    <w:rsid w:val="00E83375"/>
    <w:rsid w:val="00E8380B"/>
    <w:rsid w:val="00E85504"/>
    <w:rsid w:val="00E86CD7"/>
    <w:rsid w:val="00E87E2F"/>
    <w:rsid w:val="00E91D40"/>
    <w:rsid w:val="00EB0E6C"/>
    <w:rsid w:val="00EB318C"/>
    <w:rsid w:val="00EB3992"/>
    <w:rsid w:val="00EC2104"/>
    <w:rsid w:val="00EC7309"/>
    <w:rsid w:val="00EC749A"/>
    <w:rsid w:val="00EC7E9C"/>
    <w:rsid w:val="00ED1C5F"/>
    <w:rsid w:val="00ED6A90"/>
    <w:rsid w:val="00ED7050"/>
    <w:rsid w:val="00EE1C85"/>
    <w:rsid w:val="00EE1E7E"/>
    <w:rsid w:val="00EE2452"/>
    <w:rsid w:val="00EE33C1"/>
    <w:rsid w:val="00EE3428"/>
    <w:rsid w:val="00EF1B87"/>
    <w:rsid w:val="00EF3C16"/>
    <w:rsid w:val="00EF72B8"/>
    <w:rsid w:val="00EF754B"/>
    <w:rsid w:val="00F02771"/>
    <w:rsid w:val="00F0284A"/>
    <w:rsid w:val="00F04C67"/>
    <w:rsid w:val="00F05FD6"/>
    <w:rsid w:val="00F12887"/>
    <w:rsid w:val="00F13C8E"/>
    <w:rsid w:val="00F155CD"/>
    <w:rsid w:val="00F1745B"/>
    <w:rsid w:val="00F20014"/>
    <w:rsid w:val="00F20257"/>
    <w:rsid w:val="00F23EDB"/>
    <w:rsid w:val="00F24EF2"/>
    <w:rsid w:val="00F24EF5"/>
    <w:rsid w:val="00F25B05"/>
    <w:rsid w:val="00F2603A"/>
    <w:rsid w:val="00F430B9"/>
    <w:rsid w:val="00F43242"/>
    <w:rsid w:val="00F4562A"/>
    <w:rsid w:val="00F529A3"/>
    <w:rsid w:val="00F529A9"/>
    <w:rsid w:val="00F5313A"/>
    <w:rsid w:val="00F5463E"/>
    <w:rsid w:val="00F60900"/>
    <w:rsid w:val="00F61A40"/>
    <w:rsid w:val="00F63E3A"/>
    <w:rsid w:val="00F64591"/>
    <w:rsid w:val="00F64AA9"/>
    <w:rsid w:val="00F66F62"/>
    <w:rsid w:val="00F674B7"/>
    <w:rsid w:val="00F722DE"/>
    <w:rsid w:val="00F72477"/>
    <w:rsid w:val="00F744D8"/>
    <w:rsid w:val="00F81000"/>
    <w:rsid w:val="00F8554C"/>
    <w:rsid w:val="00F855C5"/>
    <w:rsid w:val="00F8712B"/>
    <w:rsid w:val="00F91F0D"/>
    <w:rsid w:val="00F9530D"/>
    <w:rsid w:val="00F95694"/>
    <w:rsid w:val="00F95F9C"/>
    <w:rsid w:val="00F96511"/>
    <w:rsid w:val="00F96F79"/>
    <w:rsid w:val="00F9720C"/>
    <w:rsid w:val="00FA156C"/>
    <w:rsid w:val="00FA2BC7"/>
    <w:rsid w:val="00FA396D"/>
    <w:rsid w:val="00FA50D5"/>
    <w:rsid w:val="00FA699F"/>
    <w:rsid w:val="00FB2125"/>
    <w:rsid w:val="00FB2A1F"/>
    <w:rsid w:val="00FC16A2"/>
    <w:rsid w:val="00FC3C8C"/>
    <w:rsid w:val="00FC7A2C"/>
    <w:rsid w:val="00FD28EA"/>
    <w:rsid w:val="00FD4631"/>
    <w:rsid w:val="00FD798A"/>
    <w:rsid w:val="00FE075F"/>
    <w:rsid w:val="00FE2230"/>
    <w:rsid w:val="00FE24F7"/>
    <w:rsid w:val="00FE3C06"/>
    <w:rsid w:val="00FE3DEF"/>
    <w:rsid w:val="00FE44B1"/>
    <w:rsid w:val="00FE65C0"/>
    <w:rsid w:val="00FE6F53"/>
    <w:rsid w:val="00FF062F"/>
    <w:rsid w:val="00FF0D81"/>
    <w:rsid w:val="00FF4BEC"/>
    <w:rsid w:val="00FF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5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A5B"/>
    <w:pPr>
      <w:ind w:left="720"/>
      <w:contextualSpacing/>
    </w:pPr>
  </w:style>
  <w:style w:type="paragraph" w:styleId="FootnoteText">
    <w:name w:val="footnote text"/>
    <w:basedOn w:val="Normal"/>
    <w:link w:val="FootnoteTextChar"/>
    <w:uiPriority w:val="99"/>
    <w:semiHidden/>
    <w:unhideWhenUsed/>
    <w:rsid w:val="00F6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F62"/>
    <w:rPr>
      <w:sz w:val="20"/>
      <w:szCs w:val="20"/>
    </w:rPr>
  </w:style>
  <w:style w:type="character" w:styleId="FootnoteReference">
    <w:name w:val="footnote reference"/>
    <w:basedOn w:val="DefaultParagraphFont"/>
    <w:uiPriority w:val="99"/>
    <w:semiHidden/>
    <w:unhideWhenUsed/>
    <w:rsid w:val="00F66F62"/>
    <w:rPr>
      <w:vertAlign w:val="superscript"/>
    </w:rPr>
  </w:style>
  <w:style w:type="paragraph" w:styleId="BalloonText">
    <w:name w:val="Balloon Text"/>
    <w:basedOn w:val="Normal"/>
    <w:link w:val="BalloonTextChar"/>
    <w:uiPriority w:val="99"/>
    <w:semiHidden/>
    <w:unhideWhenUsed/>
    <w:rsid w:val="00BD1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08A"/>
    <w:rPr>
      <w:rFonts w:ascii="Segoe UI" w:hAnsi="Segoe UI" w:cs="Segoe UI"/>
      <w:sz w:val="18"/>
      <w:szCs w:val="18"/>
    </w:rPr>
  </w:style>
  <w:style w:type="paragraph" w:styleId="Header">
    <w:name w:val="header"/>
    <w:basedOn w:val="Normal"/>
    <w:link w:val="HeaderChar"/>
    <w:uiPriority w:val="99"/>
    <w:unhideWhenUsed/>
    <w:rsid w:val="00A81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584"/>
  </w:style>
  <w:style w:type="paragraph" w:styleId="Footer">
    <w:name w:val="footer"/>
    <w:basedOn w:val="Normal"/>
    <w:link w:val="FooterChar"/>
    <w:uiPriority w:val="99"/>
    <w:unhideWhenUsed/>
    <w:rsid w:val="00A81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A5B"/>
    <w:pPr>
      <w:ind w:left="720"/>
      <w:contextualSpacing/>
    </w:pPr>
  </w:style>
  <w:style w:type="paragraph" w:styleId="FootnoteText">
    <w:name w:val="footnote text"/>
    <w:basedOn w:val="Normal"/>
    <w:link w:val="FootnoteTextChar"/>
    <w:uiPriority w:val="99"/>
    <w:semiHidden/>
    <w:unhideWhenUsed/>
    <w:rsid w:val="00F6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F62"/>
    <w:rPr>
      <w:sz w:val="20"/>
      <w:szCs w:val="20"/>
    </w:rPr>
  </w:style>
  <w:style w:type="character" w:styleId="FootnoteReference">
    <w:name w:val="footnote reference"/>
    <w:basedOn w:val="DefaultParagraphFont"/>
    <w:uiPriority w:val="99"/>
    <w:semiHidden/>
    <w:unhideWhenUsed/>
    <w:rsid w:val="00F66F62"/>
    <w:rPr>
      <w:vertAlign w:val="superscript"/>
    </w:rPr>
  </w:style>
  <w:style w:type="paragraph" w:styleId="BalloonText">
    <w:name w:val="Balloon Text"/>
    <w:basedOn w:val="Normal"/>
    <w:link w:val="BalloonTextChar"/>
    <w:uiPriority w:val="99"/>
    <w:semiHidden/>
    <w:unhideWhenUsed/>
    <w:rsid w:val="00BD1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08A"/>
    <w:rPr>
      <w:rFonts w:ascii="Segoe UI" w:hAnsi="Segoe UI" w:cs="Segoe UI"/>
      <w:sz w:val="18"/>
      <w:szCs w:val="18"/>
    </w:rPr>
  </w:style>
  <w:style w:type="paragraph" w:styleId="Header">
    <w:name w:val="header"/>
    <w:basedOn w:val="Normal"/>
    <w:link w:val="HeaderChar"/>
    <w:uiPriority w:val="99"/>
    <w:unhideWhenUsed/>
    <w:rsid w:val="00A81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584"/>
  </w:style>
  <w:style w:type="paragraph" w:styleId="Footer">
    <w:name w:val="footer"/>
    <w:basedOn w:val="Normal"/>
    <w:link w:val="FooterChar"/>
    <w:uiPriority w:val="99"/>
    <w:unhideWhenUsed/>
    <w:rsid w:val="00A81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0555">
      <w:bodyDiv w:val="1"/>
      <w:marLeft w:val="0"/>
      <w:marRight w:val="0"/>
      <w:marTop w:val="0"/>
      <w:marBottom w:val="0"/>
      <w:divBdr>
        <w:top w:val="none" w:sz="0" w:space="0" w:color="auto"/>
        <w:left w:val="none" w:sz="0" w:space="0" w:color="auto"/>
        <w:bottom w:val="none" w:sz="0" w:space="0" w:color="auto"/>
        <w:right w:val="none" w:sz="0" w:space="0" w:color="auto"/>
      </w:divBdr>
    </w:div>
    <w:div w:id="117265466">
      <w:bodyDiv w:val="1"/>
      <w:marLeft w:val="0"/>
      <w:marRight w:val="0"/>
      <w:marTop w:val="0"/>
      <w:marBottom w:val="0"/>
      <w:divBdr>
        <w:top w:val="none" w:sz="0" w:space="0" w:color="auto"/>
        <w:left w:val="none" w:sz="0" w:space="0" w:color="auto"/>
        <w:bottom w:val="none" w:sz="0" w:space="0" w:color="auto"/>
        <w:right w:val="none" w:sz="0" w:space="0" w:color="auto"/>
      </w:divBdr>
    </w:div>
    <w:div w:id="251595733">
      <w:bodyDiv w:val="1"/>
      <w:marLeft w:val="0"/>
      <w:marRight w:val="0"/>
      <w:marTop w:val="0"/>
      <w:marBottom w:val="0"/>
      <w:divBdr>
        <w:top w:val="none" w:sz="0" w:space="0" w:color="auto"/>
        <w:left w:val="none" w:sz="0" w:space="0" w:color="auto"/>
        <w:bottom w:val="none" w:sz="0" w:space="0" w:color="auto"/>
        <w:right w:val="none" w:sz="0" w:space="0" w:color="auto"/>
      </w:divBdr>
    </w:div>
    <w:div w:id="331638745">
      <w:bodyDiv w:val="1"/>
      <w:marLeft w:val="0"/>
      <w:marRight w:val="0"/>
      <w:marTop w:val="0"/>
      <w:marBottom w:val="0"/>
      <w:divBdr>
        <w:top w:val="none" w:sz="0" w:space="0" w:color="auto"/>
        <w:left w:val="none" w:sz="0" w:space="0" w:color="auto"/>
        <w:bottom w:val="none" w:sz="0" w:space="0" w:color="auto"/>
        <w:right w:val="none" w:sz="0" w:space="0" w:color="auto"/>
      </w:divBdr>
    </w:div>
    <w:div w:id="502359605">
      <w:bodyDiv w:val="1"/>
      <w:marLeft w:val="0"/>
      <w:marRight w:val="0"/>
      <w:marTop w:val="0"/>
      <w:marBottom w:val="0"/>
      <w:divBdr>
        <w:top w:val="none" w:sz="0" w:space="0" w:color="auto"/>
        <w:left w:val="none" w:sz="0" w:space="0" w:color="auto"/>
        <w:bottom w:val="none" w:sz="0" w:space="0" w:color="auto"/>
        <w:right w:val="none" w:sz="0" w:space="0" w:color="auto"/>
      </w:divBdr>
    </w:div>
    <w:div w:id="654189634">
      <w:bodyDiv w:val="1"/>
      <w:marLeft w:val="0"/>
      <w:marRight w:val="0"/>
      <w:marTop w:val="0"/>
      <w:marBottom w:val="0"/>
      <w:divBdr>
        <w:top w:val="none" w:sz="0" w:space="0" w:color="auto"/>
        <w:left w:val="none" w:sz="0" w:space="0" w:color="auto"/>
        <w:bottom w:val="none" w:sz="0" w:space="0" w:color="auto"/>
        <w:right w:val="none" w:sz="0" w:space="0" w:color="auto"/>
      </w:divBdr>
    </w:div>
    <w:div w:id="970984419">
      <w:bodyDiv w:val="1"/>
      <w:marLeft w:val="0"/>
      <w:marRight w:val="0"/>
      <w:marTop w:val="0"/>
      <w:marBottom w:val="0"/>
      <w:divBdr>
        <w:top w:val="none" w:sz="0" w:space="0" w:color="auto"/>
        <w:left w:val="none" w:sz="0" w:space="0" w:color="auto"/>
        <w:bottom w:val="none" w:sz="0" w:space="0" w:color="auto"/>
        <w:right w:val="none" w:sz="0" w:space="0" w:color="auto"/>
      </w:divBdr>
    </w:div>
    <w:div w:id="1037120633">
      <w:bodyDiv w:val="1"/>
      <w:marLeft w:val="0"/>
      <w:marRight w:val="0"/>
      <w:marTop w:val="0"/>
      <w:marBottom w:val="0"/>
      <w:divBdr>
        <w:top w:val="none" w:sz="0" w:space="0" w:color="auto"/>
        <w:left w:val="none" w:sz="0" w:space="0" w:color="auto"/>
        <w:bottom w:val="none" w:sz="0" w:space="0" w:color="auto"/>
        <w:right w:val="none" w:sz="0" w:space="0" w:color="auto"/>
      </w:divBdr>
    </w:div>
    <w:div w:id="1242910098">
      <w:bodyDiv w:val="1"/>
      <w:marLeft w:val="0"/>
      <w:marRight w:val="0"/>
      <w:marTop w:val="0"/>
      <w:marBottom w:val="0"/>
      <w:divBdr>
        <w:top w:val="none" w:sz="0" w:space="0" w:color="auto"/>
        <w:left w:val="none" w:sz="0" w:space="0" w:color="auto"/>
        <w:bottom w:val="none" w:sz="0" w:space="0" w:color="auto"/>
        <w:right w:val="none" w:sz="0" w:space="0" w:color="auto"/>
      </w:divBdr>
    </w:div>
    <w:div w:id="1285115195">
      <w:bodyDiv w:val="1"/>
      <w:marLeft w:val="0"/>
      <w:marRight w:val="0"/>
      <w:marTop w:val="0"/>
      <w:marBottom w:val="0"/>
      <w:divBdr>
        <w:top w:val="none" w:sz="0" w:space="0" w:color="auto"/>
        <w:left w:val="none" w:sz="0" w:space="0" w:color="auto"/>
        <w:bottom w:val="none" w:sz="0" w:space="0" w:color="auto"/>
        <w:right w:val="none" w:sz="0" w:space="0" w:color="auto"/>
      </w:divBdr>
    </w:div>
    <w:div w:id="1311399043">
      <w:bodyDiv w:val="1"/>
      <w:marLeft w:val="0"/>
      <w:marRight w:val="0"/>
      <w:marTop w:val="0"/>
      <w:marBottom w:val="0"/>
      <w:divBdr>
        <w:top w:val="none" w:sz="0" w:space="0" w:color="auto"/>
        <w:left w:val="none" w:sz="0" w:space="0" w:color="auto"/>
        <w:bottom w:val="none" w:sz="0" w:space="0" w:color="auto"/>
        <w:right w:val="none" w:sz="0" w:space="0" w:color="auto"/>
      </w:divBdr>
    </w:div>
    <w:div w:id="1429697098">
      <w:bodyDiv w:val="1"/>
      <w:marLeft w:val="0"/>
      <w:marRight w:val="0"/>
      <w:marTop w:val="0"/>
      <w:marBottom w:val="0"/>
      <w:divBdr>
        <w:top w:val="none" w:sz="0" w:space="0" w:color="auto"/>
        <w:left w:val="none" w:sz="0" w:space="0" w:color="auto"/>
        <w:bottom w:val="none" w:sz="0" w:space="0" w:color="auto"/>
        <w:right w:val="none" w:sz="0" w:space="0" w:color="auto"/>
      </w:divBdr>
    </w:div>
    <w:div w:id="1476292352">
      <w:bodyDiv w:val="1"/>
      <w:marLeft w:val="0"/>
      <w:marRight w:val="0"/>
      <w:marTop w:val="0"/>
      <w:marBottom w:val="0"/>
      <w:divBdr>
        <w:top w:val="none" w:sz="0" w:space="0" w:color="auto"/>
        <w:left w:val="none" w:sz="0" w:space="0" w:color="auto"/>
        <w:bottom w:val="none" w:sz="0" w:space="0" w:color="auto"/>
        <w:right w:val="none" w:sz="0" w:space="0" w:color="auto"/>
      </w:divBdr>
    </w:div>
    <w:div w:id="1876769210">
      <w:bodyDiv w:val="1"/>
      <w:marLeft w:val="0"/>
      <w:marRight w:val="0"/>
      <w:marTop w:val="0"/>
      <w:marBottom w:val="0"/>
      <w:divBdr>
        <w:top w:val="none" w:sz="0" w:space="0" w:color="auto"/>
        <w:left w:val="none" w:sz="0" w:space="0" w:color="auto"/>
        <w:bottom w:val="none" w:sz="0" w:space="0" w:color="auto"/>
        <w:right w:val="none" w:sz="0" w:space="0" w:color="auto"/>
      </w:divBdr>
    </w:div>
    <w:div w:id="1894845404">
      <w:bodyDiv w:val="1"/>
      <w:marLeft w:val="0"/>
      <w:marRight w:val="0"/>
      <w:marTop w:val="0"/>
      <w:marBottom w:val="0"/>
      <w:divBdr>
        <w:top w:val="none" w:sz="0" w:space="0" w:color="auto"/>
        <w:left w:val="none" w:sz="0" w:space="0" w:color="auto"/>
        <w:bottom w:val="none" w:sz="0" w:space="0" w:color="auto"/>
        <w:right w:val="none" w:sz="0" w:space="0" w:color="auto"/>
      </w:divBdr>
    </w:div>
    <w:div w:id="1996060156">
      <w:bodyDiv w:val="1"/>
      <w:marLeft w:val="0"/>
      <w:marRight w:val="0"/>
      <w:marTop w:val="0"/>
      <w:marBottom w:val="0"/>
      <w:divBdr>
        <w:top w:val="none" w:sz="0" w:space="0" w:color="auto"/>
        <w:left w:val="none" w:sz="0" w:space="0" w:color="auto"/>
        <w:bottom w:val="none" w:sz="0" w:space="0" w:color="auto"/>
        <w:right w:val="none" w:sz="0" w:space="0" w:color="auto"/>
      </w:divBdr>
    </w:div>
    <w:div w:id="1999382241">
      <w:bodyDiv w:val="1"/>
      <w:marLeft w:val="0"/>
      <w:marRight w:val="0"/>
      <w:marTop w:val="0"/>
      <w:marBottom w:val="0"/>
      <w:divBdr>
        <w:top w:val="none" w:sz="0" w:space="0" w:color="auto"/>
        <w:left w:val="none" w:sz="0" w:space="0" w:color="auto"/>
        <w:bottom w:val="none" w:sz="0" w:space="0" w:color="auto"/>
        <w:right w:val="none" w:sz="0" w:space="0" w:color="auto"/>
      </w:divBdr>
    </w:div>
    <w:div w:id="201572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8F3F4-586D-4F32-924A-A5327513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9274</Words>
  <Characters>45631</Characters>
  <Application>Microsoft Office Word</Application>
  <DocSecurity>4</DocSecurity>
  <Lines>651</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Doyle</dc:creator>
  <cp:lastModifiedBy>Priscilla O'Harra</cp:lastModifiedBy>
  <cp:revision>2</cp:revision>
  <cp:lastPrinted>2020-07-17T21:16:00Z</cp:lastPrinted>
  <dcterms:created xsi:type="dcterms:W3CDTF">2020-08-05T17:12:00Z</dcterms:created>
  <dcterms:modified xsi:type="dcterms:W3CDTF">2020-08-05T17:12:00Z</dcterms:modified>
</cp:coreProperties>
</file>